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E9667" w14:textId="77777777" w:rsidR="009B68CE" w:rsidRPr="004124FE" w:rsidRDefault="009B68CE" w:rsidP="00A63726">
      <w:pPr>
        <w:spacing w:after="0" w:line="240" w:lineRule="auto"/>
        <w:jc w:val="right"/>
        <w:rPr>
          <w:rFonts w:ascii="Times New Roman" w:hAnsi="Times New Roman" w:cs="Times New Roman"/>
          <w:i/>
          <w:color w:val="000000"/>
          <w:sz w:val="20"/>
          <w:szCs w:val="20"/>
        </w:rPr>
      </w:pPr>
      <w:r w:rsidRPr="004124FE">
        <w:rPr>
          <w:rFonts w:ascii="Times New Roman" w:hAnsi="Times New Roman" w:cs="Times New Roman"/>
          <w:i/>
          <w:color w:val="000000"/>
          <w:sz w:val="20"/>
          <w:szCs w:val="20"/>
        </w:rPr>
        <w:t>Załącznik nr 2</w:t>
      </w:r>
      <w:r w:rsidR="0055518A" w:rsidRPr="004124FE">
        <w:rPr>
          <w:rFonts w:ascii="Times New Roman" w:hAnsi="Times New Roman" w:cs="Times New Roman"/>
          <w:i/>
          <w:color w:val="000000"/>
          <w:sz w:val="20"/>
          <w:szCs w:val="20"/>
        </w:rPr>
        <w:t>A</w:t>
      </w:r>
      <w:r w:rsidRPr="004124FE">
        <w:rPr>
          <w:rFonts w:ascii="Times New Roman" w:hAnsi="Times New Roman" w:cs="Times New Roman"/>
          <w:i/>
          <w:color w:val="000000"/>
          <w:sz w:val="20"/>
          <w:szCs w:val="20"/>
        </w:rPr>
        <w:t xml:space="preserve"> do SWZ</w:t>
      </w:r>
    </w:p>
    <w:p w14:paraId="21BAA2A3" w14:textId="65EFE587" w:rsidR="00804805" w:rsidRPr="004124FE" w:rsidRDefault="006C756B" w:rsidP="00804805">
      <w:pPr>
        <w:spacing w:after="480" w:line="240" w:lineRule="auto"/>
        <w:rPr>
          <w:rFonts w:ascii="Times New Roman" w:hAnsi="Times New Roman" w:cs="Times New Roman"/>
          <w:b/>
          <w:color w:val="000000"/>
          <w:sz w:val="20"/>
          <w:szCs w:val="20"/>
        </w:rPr>
      </w:pPr>
      <w:r w:rsidRPr="004124FE">
        <w:rPr>
          <w:rFonts w:ascii="Times New Roman" w:hAnsi="Times New Roman" w:cs="Times New Roman"/>
          <w:b/>
          <w:color w:val="000000"/>
          <w:sz w:val="20"/>
          <w:szCs w:val="20"/>
        </w:rPr>
        <w:t>Szczegółowy opis przedmiotu zamówienia dla części I</w:t>
      </w:r>
      <w:r w:rsidR="00804805" w:rsidRPr="004124FE">
        <w:rPr>
          <w:rFonts w:ascii="Times New Roman" w:hAnsi="Times New Roman" w:cs="Times New Roman"/>
          <w:b/>
          <w:color w:val="000000"/>
          <w:sz w:val="20"/>
          <w:szCs w:val="20"/>
        </w:rPr>
        <w:t xml:space="preserve"> - dostawa 24 szt. stacji komputerowych</w:t>
      </w:r>
    </w:p>
    <w:p w14:paraId="03CFA70A" w14:textId="4652DE73" w:rsidR="00B55344" w:rsidRPr="004124FE" w:rsidRDefault="00B55344" w:rsidP="00B55344">
      <w:pPr>
        <w:spacing w:after="120" w:line="360" w:lineRule="auto"/>
        <w:jc w:val="both"/>
        <w:rPr>
          <w:rFonts w:ascii="Times New Roman" w:hAnsi="Times New Roman" w:cs="Times New Roman"/>
          <w:sz w:val="20"/>
          <w:szCs w:val="20"/>
        </w:rPr>
      </w:pPr>
      <w:r w:rsidRPr="004124FE">
        <w:rPr>
          <w:rFonts w:ascii="Times New Roman" w:hAnsi="Times New Roman" w:cs="Times New Roman"/>
          <w:sz w:val="20"/>
          <w:szCs w:val="20"/>
        </w:rPr>
        <w:t xml:space="preserve">Przedmiotem zamówienia jest dostawa </w:t>
      </w:r>
      <w:r w:rsidR="00204B22">
        <w:rPr>
          <w:rFonts w:ascii="Times New Roman" w:hAnsi="Times New Roman" w:cs="Times New Roman"/>
          <w:sz w:val="20"/>
          <w:szCs w:val="20"/>
        </w:rPr>
        <w:t>40</w:t>
      </w:r>
      <w:r w:rsidRPr="004124FE">
        <w:rPr>
          <w:rFonts w:ascii="Times New Roman" w:hAnsi="Times New Roman" w:cs="Times New Roman"/>
          <w:sz w:val="20"/>
          <w:szCs w:val="20"/>
        </w:rPr>
        <w:t xml:space="preserve"> szt. stacji komputerowych objętych gwarancją minimum </w:t>
      </w:r>
      <w:r w:rsidR="00204B22">
        <w:rPr>
          <w:rFonts w:ascii="Times New Roman" w:hAnsi="Times New Roman" w:cs="Times New Roman"/>
          <w:sz w:val="20"/>
          <w:szCs w:val="20"/>
        </w:rPr>
        <w:t>36</w:t>
      </w:r>
      <w:bookmarkStart w:id="0" w:name="_GoBack"/>
      <w:bookmarkEnd w:id="0"/>
      <w:r w:rsidRPr="004124FE">
        <w:rPr>
          <w:rFonts w:ascii="Times New Roman" w:hAnsi="Times New Roman" w:cs="Times New Roman"/>
          <w:sz w:val="20"/>
          <w:szCs w:val="20"/>
        </w:rPr>
        <w:t xml:space="preserve"> miesięczną.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4124FE" w:rsidRPr="004124FE" w14:paraId="3479DEFB" w14:textId="77777777" w:rsidTr="0005538C">
        <w:trPr>
          <w:trHeight w:val="283"/>
        </w:trPr>
        <w:tc>
          <w:tcPr>
            <w:tcW w:w="2127" w:type="dxa"/>
            <w:shd w:val="clear" w:color="auto" w:fill="auto"/>
          </w:tcPr>
          <w:p w14:paraId="54E7519B"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Nazwa komponentu</w:t>
            </w:r>
          </w:p>
        </w:tc>
        <w:tc>
          <w:tcPr>
            <w:tcW w:w="7938" w:type="dxa"/>
            <w:shd w:val="clear" w:color="auto" w:fill="auto"/>
          </w:tcPr>
          <w:p w14:paraId="4932948E"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Wymagane parametry techniczne komputerów</w:t>
            </w:r>
          </w:p>
        </w:tc>
      </w:tr>
      <w:tr w:rsidR="004124FE" w:rsidRPr="004124FE" w14:paraId="30FFED4B" w14:textId="77777777" w:rsidTr="0005538C">
        <w:tc>
          <w:tcPr>
            <w:tcW w:w="2127" w:type="dxa"/>
            <w:shd w:val="clear" w:color="auto" w:fill="auto"/>
          </w:tcPr>
          <w:p w14:paraId="426C2364"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Typ</w:t>
            </w:r>
          </w:p>
        </w:tc>
        <w:tc>
          <w:tcPr>
            <w:tcW w:w="7938" w:type="dxa"/>
            <w:shd w:val="clear" w:color="auto" w:fill="auto"/>
          </w:tcPr>
          <w:p w14:paraId="499695DC" w14:textId="77777777" w:rsidR="004124FE" w:rsidRPr="004124FE" w:rsidRDefault="004124FE" w:rsidP="0005538C">
            <w:pPr>
              <w:spacing w:after="0"/>
              <w:rPr>
                <w:rFonts w:ascii="Times New Roman" w:hAnsi="Times New Roman" w:cs="Times New Roman"/>
                <w:bCs/>
                <w:sz w:val="20"/>
                <w:szCs w:val="20"/>
              </w:rPr>
            </w:pPr>
            <w:r w:rsidRPr="004124FE">
              <w:rPr>
                <w:rFonts w:ascii="Times New Roman" w:hAnsi="Times New Roman" w:cs="Times New Roman"/>
                <w:bCs/>
                <w:sz w:val="20"/>
                <w:szCs w:val="20"/>
              </w:rPr>
              <w:t>Komputer stacjonarny. W ofercie wymagane jest podanie modelu, symbolu oraz producenta.</w:t>
            </w:r>
          </w:p>
        </w:tc>
      </w:tr>
      <w:tr w:rsidR="004124FE" w:rsidRPr="004124FE" w14:paraId="0ACB729C" w14:textId="77777777" w:rsidTr="0005538C">
        <w:tc>
          <w:tcPr>
            <w:tcW w:w="2127" w:type="dxa"/>
            <w:shd w:val="clear" w:color="auto" w:fill="auto"/>
          </w:tcPr>
          <w:p w14:paraId="653F1DF3"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Zastosowanie</w:t>
            </w:r>
          </w:p>
        </w:tc>
        <w:tc>
          <w:tcPr>
            <w:tcW w:w="7938" w:type="dxa"/>
            <w:shd w:val="clear" w:color="auto" w:fill="auto"/>
          </w:tcPr>
          <w:p w14:paraId="416CECF6"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Komputer będzie wykorzystywany dla potrzeb aplikacji biurowych, aplikacji edukacyjnych, aplikacji obliczeniowych, dostępu do Internetu oraz poczty elektronicznej, jako lokalna baza danych, stacja programistyczna.</w:t>
            </w:r>
          </w:p>
        </w:tc>
      </w:tr>
      <w:tr w:rsidR="004124FE" w:rsidRPr="004124FE" w14:paraId="452F5730" w14:textId="77777777" w:rsidTr="0005538C">
        <w:tc>
          <w:tcPr>
            <w:tcW w:w="2127" w:type="dxa"/>
            <w:shd w:val="clear" w:color="auto" w:fill="auto"/>
          </w:tcPr>
          <w:p w14:paraId="39F88AF6"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Wydajność obliczeniowa</w:t>
            </w:r>
          </w:p>
        </w:tc>
        <w:tc>
          <w:tcPr>
            <w:tcW w:w="7938" w:type="dxa"/>
            <w:shd w:val="clear" w:color="auto" w:fill="auto"/>
          </w:tcPr>
          <w:p w14:paraId="0EF7D35D"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Oferowany komputer stacjonarny musi osiągać w teście wydajności :</w:t>
            </w:r>
          </w:p>
          <w:p w14:paraId="54746203"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SYSMARK 2018 – wynik min. 1500 – test z przeprowadzonej konfiguracji załączyć do oferty.</w:t>
            </w:r>
          </w:p>
          <w:p w14:paraId="0FE0F505"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14:paraId="442471D2" w14:textId="172827E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r>
              <w:rPr>
                <w:rFonts w:ascii="Times New Roman" w:hAnsi="Times New Roman" w:cs="Times New Roman"/>
                <w:bCs/>
                <w:sz w:val="20"/>
                <w:szCs w:val="20"/>
              </w:rPr>
              <w:t>.</w:t>
            </w:r>
            <w:r w:rsidRPr="004124FE">
              <w:rPr>
                <w:rFonts w:ascii="Times New Roman" w:hAnsi="Times New Roman" w:cs="Times New Roman"/>
                <w:bCs/>
                <w:sz w:val="20"/>
                <w:szCs w:val="20"/>
              </w:rPr>
              <w:t xml:space="preserve"> </w:t>
            </w:r>
          </w:p>
        </w:tc>
      </w:tr>
      <w:tr w:rsidR="004124FE" w:rsidRPr="004124FE" w14:paraId="4905A9C0" w14:textId="77777777" w:rsidTr="0005538C">
        <w:tc>
          <w:tcPr>
            <w:tcW w:w="2127" w:type="dxa"/>
            <w:shd w:val="clear" w:color="auto" w:fill="auto"/>
          </w:tcPr>
          <w:p w14:paraId="4430945E"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Procesor</w:t>
            </w:r>
          </w:p>
        </w:tc>
        <w:tc>
          <w:tcPr>
            <w:tcW w:w="7938" w:type="dxa"/>
            <w:shd w:val="clear" w:color="auto" w:fill="auto"/>
          </w:tcPr>
          <w:p w14:paraId="16B8C260" w14:textId="7A8F7905"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Procesor dedykowany do pracy w komputerach stacjonarnych, osiągający w teście Passmark CPU Mark, w kategorii Average CPU Mark wynik co najmniej 9000 punktów według wyników opublikowanych na stronie </w:t>
            </w:r>
            <w:hyperlink r:id="rId8" w:history="1">
              <w:r w:rsidRPr="004124FE">
                <w:rPr>
                  <w:rStyle w:val="Hipercze"/>
                  <w:rFonts w:ascii="Times New Roman" w:hAnsi="Times New Roman" w:cs="Times New Roman"/>
                  <w:bCs/>
                  <w:sz w:val="20"/>
                  <w:szCs w:val="20"/>
                </w:rPr>
                <w:t>http://www.cpubenchmark.net/</w:t>
              </w:r>
            </w:hyperlink>
            <w:r>
              <w:rPr>
                <w:rStyle w:val="Hipercze"/>
                <w:rFonts w:ascii="Times New Roman" w:hAnsi="Times New Roman" w:cs="Times New Roman"/>
                <w:bCs/>
                <w:color w:val="auto"/>
                <w:sz w:val="20"/>
                <w:szCs w:val="20"/>
              </w:rPr>
              <w:t>.</w:t>
            </w:r>
            <w:r w:rsidRPr="004124FE">
              <w:rPr>
                <w:rFonts w:ascii="Times New Roman" w:hAnsi="Times New Roman" w:cs="Times New Roman"/>
                <w:bCs/>
                <w:sz w:val="20"/>
                <w:szCs w:val="20"/>
              </w:rPr>
              <w:t xml:space="preserve"> </w:t>
            </w:r>
          </w:p>
        </w:tc>
      </w:tr>
      <w:tr w:rsidR="004124FE" w:rsidRPr="004124FE" w14:paraId="2C4B9219" w14:textId="77777777" w:rsidTr="0005538C">
        <w:tc>
          <w:tcPr>
            <w:tcW w:w="2127" w:type="dxa"/>
            <w:shd w:val="clear" w:color="auto" w:fill="auto"/>
          </w:tcPr>
          <w:p w14:paraId="794E1286"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Pamięć RAM</w:t>
            </w:r>
          </w:p>
        </w:tc>
        <w:tc>
          <w:tcPr>
            <w:tcW w:w="7938" w:type="dxa"/>
            <w:shd w:val="clear" w:color="auto" w:fill="auto"/>
          </w:tcPr>
          <w:p w14:paraId="43298E79"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8GB DDR4 2666MHz. Możliwość rozbudowy do min 64GB. Jeden slot DIMM wolny.</w:t>
            </w:r>
          </w:p>
        </w:tc>
      </w:tr>
      <w:tr w:rsidR="004124FE" w:rsidRPr="004124FE" w14:paraId="0BB2C7B9" w14:textId="77777777" w:rsidTr="0005538C">
        <w:tc>
          <w:tcPr>
            <w:tcW w:w="2127" w:type="dxa"/>
            <w:shd w:val="clear" w:color="auto" w:fill="auto"/>
          </w:tcPr>
          <w:p w14:paraId="6A309043"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Pamięć masowa</w:t>
            </w:r>
          </w:p>
        </w:tc>
        <w:tc>
          <w:tcPr>
            <w:tcW w:w="7938" w:type="dxa"/>
            <w:shd w:val="clear" w:color="auto" w:fill="auto"/>
          </w:tcPr>
          <w:p w14:paraId="641B499B"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Dysk SSD min. 128 GB </w:t>
            </w:r>
          </w:p>
          <w:p w14:paraId="05E3B566"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Obudowa musi umożliwiać montaż dodatkowego dysku 2.5” lub 3.5”.</w:t>
            </w:r>
          </w:p>
        </w:tc>
      </w:tr>
      <w:tr w:rsidR="004124FE" w:rsidRPr="004124FE" w14:paraId="0C5FCAD6" w14:textId="77777777" w:rsidTr="0005538C">
        <w:tc>
          <w:tcPr>
            <w:tcW w:w="2127" w:type="dxa"/>
            <w:shd w:val="clear" w:color="auto" w:fill="auto"/>
          </w:tcPr>
          <w:p w14:paraId="64A4CA7D"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Wydajność grafiki</w:t>
            </w:r>
          </w:p>
        </w:tc>
        <w:tc>
          <w:tcPr>
            <w:tcW w:w="7938" w:type="dxa"/>
            <w:shd w:val="clear" w:color="auto" w:fill="auto"/>
          </w:tcPr>
          <w:p w14:paraId="20F905CA" w14:textId="6D22A62E"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Zintegrowana z procesorem</w:t>
            </w:r>
            <w:r>
              <w:rPr>
                <w:rFonts w:ascii="Times New Roman" w:hAnsi="Times New Roman" w:cs="Times New Roman"/>
                <w:bCs/>
                <w:sz w:val="20"/>
                <w:szCs w:val="20"/>
              </w:rPr>
              <w:t>.</w:t>
            </w:r>
          </w:p>
        </w:tc>
      </w:tr>
      <w:tr w:rsidR="004124FE" w:rsidRPr="004124FE" w14:paraId="44F41F88" w14:textId="77777777" w:rsidTr="0005538C">
        <w:tc>
          <w:tcPr>
            <w:tcW w:w="2127" w:type="dxa"/>
            <w:shd w:val="clear" w:color="auto" w:fill="auto"/>
          </w:tcPr>
          <w:p w14:paraId="51F52CE9"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Wyposażenie multimedialne</w:t>
            </w:r>
          </w:p>
        </w:tc>
        <w:tc>
          <w:tcPr>
            <w:tcW w:w="7938" w:type="dxa"/>
            <w:shd w:val="clear" w:color="auto" w:fill="auto"/>
          </w:tcPr>
          <w:p w14:paraId="45C8D730"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Karta dźwiękowa min. czterokanałowa zintegrowana z płytą główną, zgodna z High Definition. Port słuchawek i mikrofonu na przednim panelu, dopuszcza się rozwiązanie port combo, na tylnym panelu min. port audio line out.</w:t>
            </w:r>
          </w:p>
        </w:tc>
      </w:tr>
      <w:tr w:rsidR="004124FE" w:rsidRPr="004124FE" w14:paraId="785BE746" w14:textId="77777777" w:rsidTr="0005538C">
        <w:trPr>
          <w:trHeight w:val="436"/>
        </w:trPr>
        <w:tc>
          <w:tcPr>
            <w:tcW w:w="2127" w:type="dxa"/>
            <w:shd w:val="clear" w:color="auto" w:fill="auto"/>
          </w:tcPr>
          <w:p w14:paraId="646A8F1A"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Obudowa</w:t>
            </w:r>
          </w:p>
        </w:tc>
        <w:tc>
          <w:tcPr>
            <w:tcW w:w="7938" w:type="dxa"/>
            <w:shd w:val="clear" w:color="auto" w:fill="auto"/>
          </w:tcPr>
          <w:p w14:paraId="6700CB75"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Typu Small Form Factor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700 mm (maksymalnie 30x10x30 cm).</w:t>
            </w:r>
          </w:p>
          <w:p w14:paraId="248A40BD"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Na panelu przednim zamontowany filtr powietrza chroniący wnętrze przed kurzem, pyłem itp. Filtr demontowany bez użycia narzędzi.</w:t>
            </w:r>
          </w:p>
          <w:p w14:paraId="66E26873"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xml:space="preserve">Zasilacz o mocy min. 60W pracujący w sieci 230V 50/60Hz prądu zmiennego i efektywności min. 85% przy obciążeniu zasilacza na poziomie 50% oraz o efektywności min. 89% przy obciążeniu zasilacza na poziomie 100%, </w:t>
            </w:r>
          </w:p>
          <w:p w14:paraId="16CE0329" w14:textId="654E2C2B"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t>
            </w:r>
            <w:r w:rsidRPr="004124FE">
              <w:rPr>
                <w:rFonts w:ascii="Times New Roman" w:hAnsi="Times New Roman" w:cs="Times New Roman"/>
                <w:bCs/>
                <w:sz w:val="20"/>
                <w:szCs w:val="20"/>
              </w:rPr>
              <w:lastRenderedPageBreak/>
              <w:t>w</w:t>
            </w:r>
            <w:r>
              <w:rPr>
                <w:rFonts w:ascii="Times New Roman" w:hAnsi="Times New Roman" w:cs="Times New Roman"/>
                <w:bCs/>
                <w:sz w:val="20"/>
                <w:szCs w:val="20"/>
              </w:rPr>
              <w:t> </w:t>
            </w:r>
            <w:r w:rsidRPr="004124FE">
              <w:rPr>
                <w:rFonts w:ascii="Times New Roman" w:hAnsi="Times New Roman" w:cs="Times New Roman"/>
                <w:bCs/>
                <w:sz w:val="20"/>
                <w:szCs w:val="20"/>
              </w:rPr>
              <w:t xml:space="preserve">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4124FE" w:rsidRPr="004124FE" w14:paraId="74C6CC0E" w14:textId="77777777" w:rsidTr="0005538C">
        <w:tc>
          <w:tcPr>
            <w:tcW w:w="2127" w:type="dxa"/>
            <w:shd w:val="clear" w:color="auto" w:fill="auto"/>
          </w:tcPr>
          <w:p w14:paraId="78C46F26"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lastRenderedPageBreak/>
              <w:t>Bezpieczeństwo</w:t>
            </w:r>
          </w:p>
        </w:tc>
        <w:tc>
          <w:tcPr>
            <w:tcW w:w="7938" w:type="dxa"/>
            <w:shd w:val="clear" w:color="auto" w:fill="auto"/>
          </w:tcPr>
          <w:p w14:paraId="22E8F56D"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5E1C0A5F"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Procedura POST traktowana jest jako oddzielna funkcjonalność. </w:t>
            </w:r>
          </w:p>
        </w:tc>
      </w:tr>
      <w:tr w:rsidR="004124FE" w:rsidRPr="004124FE" w14:paraId="2BE86683" w14:textId="77777777" w:rsidTr="0005538C">
        <w:tc>
          <w:tcPr>
            <w:tcW w:w="2127" w:type="dxa"/>
            <w:shd w:val="clear" w:color="auto" w:fill="auto"/>
          </w:tcPr>
          <w:p w14:paraId="098F245C"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BIOS</w:t>
            </w:r>
          </w:p>
        </w:tc>
        <w:tc>
          <w:tcPr>
            <w:tcW w:w="7938" w:type="dxa"/>
            <w:shd w:val="clear" w:color="auto" w:fill="auto"/>
          </w:tcPr>
          <w:p w14:paraId="537286DB" w14:textId="1CCB41D1"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BIOS zgodny ze specyfikacją UEFI, wyprodukowany przez producenta komputera, zawierający logo lub nazwę producenta komputera lub nazwę modelu oferowanego komputera. Pełna obsługa BIOS za pomocą klawiatury i myszy oraz samej myszy. BIOS wyposażony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automatyczną detekcję zmiany konfiguracji, automatycznie nanoszący zmiany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w:t>
            </w:r>
            <w:r>
              <w:rPr>
                <w:rFonts w:ascii="Times New Roman" w:hAnsi="Times New Roman" w:cs="Times New Roman"/>
                <w:bCs/>
                <w:sz w:val="20"/>
                <w:szCs w:val="20"/>
              </w:rPr>
              <w:t> </w:t>
            </w:r>
            <w:r w:rsidRPr="004124FE">
              <w:rPr>
                <w:rFonts w:ascii="Times New Roman" w:hAnsi="Times New Roman" w:cs="Times New Roman"/>
                <w:bCs/>
                <w:sz w:val="20"/>
                <w:szCs w:val="20"/>
              </w:rPr>
              <w:t xml:space="preserve">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BAC6A8E" w14:textId="77777777" w:rsidR="004124FE" w:rsidRPr="004124FE" w:rsidRDefault="004124FE" w:rsidP="004124FE">
            <w:pPr>
              <w:widowControl w:val="0"/>
              <w:autoSpaceDE w:val="0"/>
              <w:autoSpaceDN w:val="0"/>
              <w:adjustRightInd w:val="0"/>
              <w:spacing w:after="0"/>
              <w:ind w:right="50"/>
              <w:jc w:val="both"/>
              <w:rPr>
                <w:rFonts w:ascii="Times New Roman" w:hAnsi="Times New Roman" w:cs="Times New Roman"/>
                <w:bCs/>
                <w:sz w:val="20"/>
                <w:szCs w:val="20"/>
              </w:rPr>
            </w:pPr>
            <w:r w:rsidRPr="004124FE">
              <w:rPr>
                <w:rFonts w:ascii="Times New Roman" w:hAnsi="Times New Roman" w:cs="Times New Roman"/>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5080B21C" w14:textId="2F50B9BA" w:rsidR="004124FE" w:rsidRPr="004124FE" w:rsidRDefault="004124FE" w:rsidP="004124FE">
            <w:pPr>
              <w:widowControl w:val="0"/>
              <w:autoSpaceDE w:val="0"/>
              <w:autoSpaceDN w:val="0"/>
              <w:adjustRightInd w:val="0"/>
              <w:spacing w:after="0"/>
              <w:ind w:right="50"/>
              <w:jc w:val="both"/>
              <w:rPr>
                <w:rFonts w:ascii="Times New Roman" w:hAnsi="Times New Roman" w:cs="Times New Roman"/>
                <w:bCs/>
                <w:sz w:val="20"/>
                <w:szCs w:val="20"/>
              </w:rPr>
            </w:pPr>
            <w:r w:rsidRPr="004124FE">
              <w:rPr>
                <w:rFonts w:ascii="Times New Roman" w:hAnsi="Times New Roman" w:cs="Times New Roman"/>
                <w:bCs/>
                <w:sz w:val="20"/>
                <w:szCs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w:t>
            </w:r>
            <w:r>
              <w:rPr>
                <w:rFonts w:ascii="Times New Roman" w:hAnsi="Times New Roman" w:cs="Times New Roman"/>
                <w:bCs/>
                <w:sz w:val="20"/>
                <w:szCs w:val="20"/>
              </w:rPr>
              <w:t> </w:t>
            </w:r>
            <w:r w:rsidRPr="004124FE">
              <w:rPr>
                <w:rFonts w:ascii="Times New Roman" w:hAnsi="Times New Roman" w:cs="Times New Roman"/>
                <w:bCs/>
                <w:sz w:val="20"/>
                <w:szCs w:val="20"/>
              </w:rPr>
              <w:t xml:space="preserve"> cyfr, małych liter, dużych liter oraz znaków specjalnych. Możliwość włączenia/wyłączenia kontrolera SATA (w tym w szczególności pojedynczo), Możliwość ustawienia portów USB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trybie „no BOOT” (podczas startu komputer nie wykrywa urządzeń bootujących typu USB). Możliwość wyłączania portów USB pojedynczo. </w:t>
            </w:r>
          </w:p>
          <w:p w14:paraId="743DC4FE" w14:textId="77777777" w:rsidR="004124FE" w:rsidRPr="004124FE" w:rsidRDefault="004124FE" w:rsidP="004124FE">
            <w:pPr>
              <w:widowControl w:val="0"/>
              <w:autoSpaceDE w:val="0"/>
              <w:autoSpaceDN w:val="0"/>
              <w:adjustRightInd w:val="0"/>
              <w:spacing w:after="0"/>
              <w:ind w:right="50"/>
              <w:jc w:val="both"/>
              <w:rPr>
                <w:rFonts w:ascii="Times New Roman" w:hAnsi="Times New Roman" w:cs="Times New Roman"/>
                <w:bCs/>
                <w:sz w:val="20"/>
                <w:szCs w:val="20"/>
              </w:rPr>
            </w:pPr>
            <w:r w:rsidRPr="004124FE">
              <w:rPr>
                <w:rFonts w:ascii="Times New Roman" w:hAnsi="Times New Roman" w:cs="Times New Roman"/>
                <w:bCs/>
                <w:sz w:val="20"/>
                <w:szCs w:val="20"/>
              </w:rPr>
              <w:t>Możliwość dokonywania backup’u BIOS wraz z ustawieniami na dysku wewnętrznym.</w:t>
            </w:r>
          </w:p>
          <w:p w14:paraId="00BB48E7" w14:textId="46F1D289"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lastRenderedPageBreak/>
              <w:t>Oferowany BIOS musi posiadać poza swoją wewnętrzną strukturą menu szybkiego boot’owania które umożliwia m.in.: uruchamianie systemu zainstalowanego na dysku twardym, uruchamianie systemu z urządzeń zewnętrznych, uruchamianie systemu z serwera za</w:t>
            </w:r>
            <w:r>
              <w:rPr>
                <w:rFonts w:ascii="Times New Roman" w:hAnsi="Times New Roman" w:cs="Times New Roman"/>
                <w:bCs/>
                <w:sz w:val="20"/>
                <w:szCs w:val="20"/>
              </w:rPr>
              <w:t> </w:t>
            </w:r>
            <w:r w:rsidRPr="004124FE">
              <w:rPr>
                <w:rFonts w:ascii="Times New Roman" w:hAnsi="Times New Roman" w:cs="Times New Roman"/>
                <w:bCs/>
                <w:sz w:val="20"/>
                <w:szCs w:val="20"/>
              </w:rPr>
              <w:t xml:space="preserve"> pośrednictwem zintegrowanej karty sieciowej, uruchomienie graficznego systemu diagnostycznego, wejście do BIOS, upgrade BIOS.</w:t>
            </w:r>
          </w:p>
        </w:tc>
      </w:tr>
      <w:tr w:rsidR="004124FE" w:rsidRPr="004124FE" w14:paraId="5D67CB9F" w14:textId="77777777" w:rsidTr="0005538C">
        <w:tc>
          <w:tcPr>
            <w:tcW w:w="2127" w:type="dxa"/>
            <w:shd w:val="clear" w:color="auto" w:fill="auto"/>
          </w:tcPr>
          <w:p w14:paraId="0DB189F5" w14:textId="77777777" w:rsidR="004124FE" w:rsidRPr="004124FE" w:rsidRDefault="004124FE" w:rsidP="0005538C">
            <w:pPr>
              <w:jc w:val="center"/>
              <w:rPr>
                <w:rFonts w:ascii="Times New Roman" w:hAnsi="Times New Roman" w:cs="Times New Roman"/>
                <w:bCs/>
                <w:sz w:val="20"/>
                <w:szCs w:val="20"/>
              </w:rPr>
            </w:pPr>
            <w:r w:rsidRPr="004124FE">
              <w:rPr>
                <w:rFonts w:ascii="Times New Roman" w:hAnsi="Times New Roman" w:cs="Times New Roman"/>
                <w:bCs/>
                <w:sz w:val="20"/>
                <w:szCs w:val="20"/>
              </w:rPr>
              <w:lastRenderedPageBreak/>
              <w:t>Wirtualizacja</w:t>
            </w:r>
          </w:p>
        </w:tc>
        <w:tc>
          <w:tcPr>
            <w:tcW w:w="7938" w:type="dxa"/>
            <w:shd w:val="clear" w:color="auto" w:fill="auto"/>
          </w:tcPr>
          <w:p w14:paraId="6F063D3A"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4124FE" w:rsidRPr="004124FE" w14:paraId="6DC92445" w14:textId="77777777" w:rsidTr="0005538C">
        <w:tc>
          <w:tcPr>
            <w:tcW w:w="2127" w:type="dxa"/>
            <w:shd w:val="clear" w:color="auto" w:fill="auto"/>
          </w:tcPr>
          <w:p w14:paraId="71FB8A6B"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System operacyjny– w formularzu oferty należy podać pełną nazwę oferowanego oprogramowania</w:t>
            </w:r>
          </w:p>
        </w:tc>
        <w:tc>
          <w:tcPr>
            <w:tcW w:w="7938" w:type="dxa"/>
            <w:shd w:val="clear" w:color="auto" w:fill="auto"/>
          </w:tcPr>
          <w:p w14:paraId="59FA2E25"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bdr w:val="none" w:sz="0" w:space="0" w:color="auto" w:frame="1"/>
              </w:rPr>
              <w:t>Zainstalowany system operacyjny Windows 10 Professional, licencja musi umożliwiać instalację systemu operacyjnego na podstawie dołączonego nośnika lub zdalnie bez potrzeby ręcznego wpisywania klucza licencyjnego.</w:t>
            </w:r>
          </w:p>
        </w:tc>
      </w:tr>
      <w:tr w:rsidR="004124FE" w:rsidRPr="004124FE" w14:paraId="7A10D394" w14:textId="77777777" w:rsidTr="0005538C">
        <w:tc>
          <w:tcPr>
            <w:tcW w:w="2127" w:type="dxa"/>
            <w:shd w:val="clear" w:color="auto" w:fill="auto"/>
          </w:tcPr>
          <w:p w14:paraId="58815B4F"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Certyfikaty i standardy</w:t>
            </w:r>
          </w:p>
        </w:tc>
        <w:tc>
          <w:tcPr>
            <w:tcW w:w="7938" w:type="dxa"/>
            <w:shd w:val="clear" w:color="auto" w:fill="auto"/>
          </w:tcPr>
          <w:p w14:paraId="7598C36E"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Deklaracja zgodności CE (załączyć do oferty)</w:t>
            </w:r>
          </w:p>
          <w:p w14:paraId="008E5C15"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Urządzenia muszą być wyprodukowane zgodnie z normą PN-EN  ISO 50001 oraz ISO 9001</w:t>
            </w:r>
          </w:p>
          <w:p w14:paraId="706F54B0" w14:textId="4626B3ED"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124FE" w:rsidRPr="004124FE" w14:paraId="45D686EC" w14:textId="77777777" w:rsidTr="0005538C">
        <w:tc>
          <w:tcPr>
            <w:tcW w:w="2127" w:type="dxa"/>
            <w:shd w:val="clear" w:color="auto" w:fill="auto"/>
          </w:tcPr>
          <w:p w14:paraId="7291D2DE" w14:textId="77777777" w:rsidR="004124FE" w:rsidRPr="004124FE" w:rsidRDefault="004124FE" w:rsidP="0005538C">
            <w:pPr>
              <w:jc w:val="center"/>
              <w:rPr>
                <w:rFonts w:ascii="Times New Roman" w:hAnsi="Times New Roman" w:cs="Times New Roman"/>
                <w:bCs/>
                <w:sz w:val="20"/>
                <w:szCs w:val="20"/>
              </w:rPr>
            </w:pPr>
            <w:r w:rsidRPr="004124FE">
              <w:rPr>
                <w:rFonts w:ascii="Times New Roman" w:hAnsi="Times New Roman" w:cs="Times New Roman"/>
                <w:bCs/>
                <w:sz w:val="20"/>
                <w:szCs w:val="20"/>
              </w:rPr>
              <w:t>Wymagania dodatkowe</w:t>
            </w:r>
          </w:p>
        </w:tc>
        <w:tc>
          <w:tcPr>
            <w:tcW w:w="7938" w:type="dxa"/>
            <w:shd w:val="clear" w:color="auto" w:fill="auto"/>
          </w:tcPr>
          <w:p w14:paraId="5F538376"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Wbudowane porty: 1x HDMI 1.4, 1x VGA, port audio typu combo (słuchawka/mikrofon) na przednim panelu, port audio-out na tylnym panelu obudowy, 1xRJ-45,  8 portów USB wyprowadzonych na zewnątrz obudowy, w układzie: </w:t>
            </w:r>
          </w:p>
          <w:p w14:paraId="21E7269A"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xml:space="preserve">- Panel przedni: 4 x USB 3.2 Typu A </w:t>
            </w:r>
          </w:p>
          <w:p w14:paraId="3BC0A887"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 Panel tylny: 2 x USB 3.2 Typu A oraz 2 x USB 2.0</w:t>
            </w:r>
          </w:p>
          <w:p w14:paraId="690E20ED" w14:textId="1AAB3C28"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złączach wymaganych w opisie płyty głównej.</w:t>
            </w:r>
          </w:p>
          <w:p w14:paraId="5E1214CA"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Karta sieciowa 10/100/1000 zintegrowana z płytą główną, wspierająca obsługę</w:t>
            </w:r>
            <w:r w:rsidRPr="004124FE">
              <w:rPr>
                <w:rFonts w:ascii="Times New Roman" w:hAnsi="Times New Roman" w:cs="Times New Roman"/>
                <w:bCs/>
                <w:i/>
                <w:sz w:val="20"/>
                <w:szCs w:val="20"/>
              </w:rPr>
              <w:t xml:space="preserve"> </w:t>
            </w:r>
            <w:r w:rsidRPr="004124FE">
              <w:rPr>
                <w:rFonts w:ascii="Times New Roman" w:hAnsi="Times New Roman" w:cs="Times New Roman"/>
                <w:bCs/>
                <w:sz w:val="20"/>
                <w:szCs w:val="20"/>
              </w:rPr>
              <w:t xml:space="preserve">WoL (funkcja włączana przez użytkownika), </w:t>
            </w:r>
          </w:p>
          <w:p w14:paraId="76B46A69" w14:textId="362F8F04"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Płyta główna zaprojektowana i wyprodukowana na zlecenie producenta komputera, trwale oznaczona na etapie produkcji logiem producenta oferowanej jednostki, dedykowana dla danego urządzenia, wyposażona w: 1 x PCIe x16 Gen.3, 1 x PCIe x1, 2 x DIMM z obsługą do</w:t>
            </w:r>
            <w:r>
              <w:rPr>
                <w:rFonts w:ascii="Times New Roman" w:hAnsi="Times New Roman" w:cs="Times New Roman"/>
                <w:bCs/>
                <w:sz w:val="20"/>
                <w:szCs w:val="20"/>
              </w:rPr>
              <w:t> </w:t>
            </w:r>
            <w:r w:rsidRPr="004124FE">
              <w:rPr>
                <w:rFonts w:ascii="Times New Roman" w:hAnsi="Times New Roman" w:cs="Times New Roman"/>
                <w:bCs/>
                <w:sz w:val="20"/>
                <w:szCs w:val="20"/>
              </w:rPr>
              <w:t xml:space="preserve"> 64 GB DDR4 RAM, 2 x SATA w tym min. 1 szt SATA 3.0.</w:t>
            </w:r>
          </w:p>
          <w:p w14:paraId="026346F8"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Jedno złącze M.2 dla dysków</w:t>
            </w:r>
          </w:p>
          <w:p w14:paraId="35A63F48"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Opakowanie musi być wykonane z materiałów podlegających powtórnemu przetworzeniu.</w:t>
            </w:r>
          </w:p>
        </w:tc>
      </w:tr>
      <w:tr w:rsidR="004124FE" w:rsidRPr="004124FE" w14:paraId="4026C2D0" w14:textId="77777777" w:rsidTr="0005538C">
        <w:tc>
          <w:tcPr>
            <w:tcW w:w="2127" w:type="dxa"/>
            <w:shd w:val="clear" w:color="auto" w:fill="auto"/>
          </w:tcPr>
          <w:p w14:paraId="5202ED71"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Ergonomia</w:t>
            </w:r>
          </w:p>
        </w:tc>
        <w:tc>
          <w:tcPr>
            <w:tcW w:w="7938" w:type="dxa"/>
            <w:shd w:val="clear" w:color="auto" w:fill="auto"/>
          </w:tcPr>
          <w:p w14:paraId="555BDC7E" w14:textId="598E670A"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Głośność jednostki centralnej mierzona zgodnie z normą ISO 7779 oraz wykazana zgodnie z</w:t>
            </w:r>
            <w:r>
              <w:rPr>
                <w:rFonts w:ascii="Times New Roman" w:hAnsi="Times New Roman" w:cs="Times New Roman"/>
                <w:bCs/>
                <w:sz w:val="20"/>
                <w:szCs w:val="20"/>
              </w:rPr>
              <w:t> </w:t>
            </w:r>
            <w:r w:rsidRPr="004124FE">
              <w:rPr>
                <w:rFonts w:ascii="Times New Roman" w:hAnsi="Times New Roman" w:cs="Times New Roman"/>
                <w:bCs/>
                <w:sz w:val="20"/>
                <w:szCs w:val="20"/>
              </w:rPr>
              <w:t xml:space="preserve"> normą ISO 9296 w pozycji obserwatora w trybie pracy jałowej (IDLE) wynosząca maksymalnie 26 dB</w:t>
            </w:r>
          </w:p>
        </w:tc>
      </w:tr>
      <w:tr w:rsidR="004124FE" w:rsidRPr="004124FE" w14:paraId="797DE344" w14:textId="77777777" w:rsidTr="0005538C">
        <w:tc>
          <w:tcPr>
            <w:tcW w:w="2127" w:type="dxa"/>
            <w:shd w:val="clear" w:color="auto" w:fill="auto"/>
          </w:tcPr>
          <w:p w14:paraId="2A0C74C3" w14:textId="77777777" w:rsidR="004124FE" w:rsidRPr="004124FE" w:rsidRDefault="004124FE" w:rsidP="0005538C">
            <w:pPr>
              <w:spacing w:after="0"/>
              <w:jc w:val="center"/>
              <w:rPr>
                <w:rFonts w:ascii="Times New Roman" w:hAnsi="Times New Roman" w:cs="Times New Roman"/>
                <w:bCs/>
                <w:sz w:val="20"/>
                <w:szCs w:val="20"/>
              </w:rPr>
            </w:pPr>
            <w:r w:rsidRPr="004124FE">
              <w:rPr>
                <w:rFonts w:ascii="Times New Roman" w:hAnsi="Times New Roman" w:cs="Times New Roman"/>
                <w:bCs/>
                <w:sz w:val="20"/>
                <w:szCs w:val="20"/>
              </w:rPr>
              <w:t>Wsparcie techniczne producenta</w:t>
            </w:r>
          </w:p>
        </w:tc>
        <w:tc>
          <w:tcPr>
            <w:tcW w:w="7938" w:type="dxa"/>
            <w:shd w:val="clear" w:color="auto" w:fill="auto"/>
          </w:tcPr>
          <w:p w14:paraId="3AE83674" w14:textId="77777777" w:rsidR="004124FE" w:rsidRPr="004124FE" w:rsidRDefault="004124FE" w:rsidP="004124FE">
            <w:pPr>
              <w:spacing w:after="0"/>
              <w:jc w:val="both"/>
              <w:rPr>
                <w:rFonts w:ascii="Times New Roman" w:hAnsi="Times New Roman" w:cs="Times New Roman"/>
                <w:bCs/>
                <w:sz w:val="20"/>
                <w:szCs w:val="20"/>
              </w:rPr>
            </w:pPr>
            <w:r w:rsidRPr="004124FE">
              <w:rPr>
                <w:rFonts w:ascii="Times New Roman" w:hAnsi="Times New Roman" w:cs="Times New Roman"/>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4124FE" w:rsidRPr="004124FE" w14:paraId="3EEEB56D" w14:textId="77777777" w:rsidTr="0005538C">
        <w:tc>
          <w:tcPr>
            <w:tcW w:w="2127" w:type="dxa"/>
            <w:shd w:val="clear" w:color="auto" w:fill="auto"/>
          </w:tcPr>
          <w:p w14:paraId="6D84B3D1" w14:textId="77777777" w:rsidR="004124FE" w:rsidRPr="004124FE" w:rsidRDefault="004124FE" w:rsidP="0005538C">
            <w:pPr>
              <w:jc w:val="center"/>
              <w:rPr>
                <w:rFonts w:ascii="Times New Roman" w:hAnsi="Times New Roman" w:cs="Times New Roman"/>
                <w:bCs/>
                <w:sz w:val="20"/>
                <w:szCs w:val="20"/>
              </w:rPr>
            </w:pPr>
            <w:r w:rsidRPr="004124FE">
              <w:rPr>
                <w:rFonts w:ascii="Times New Roman" w:hAnsi="Times New Roman" w:cs="Times New Roman"/>
                <w:bCs/>
                <w:sz w:val="20"/>
                <w:szCs w:val="20"/>
              </w:rPr>
              <w:t>Warunki gwarancji</w:t>
            </w:r>
          </w:p>
        </w:tc>
        <w:tc>
          <w:tcPr>
            <w:tcW w:w="7938" w:type="dxa"/>
            <w:shd w:val="clear" w:color="auto" w:fill="auto"/>
          </w:tcPr>
          <w:p w14:paraId="16F34C8B" w14:textId="3F102A5D" w:rsidR="004124FE" w:rsidRPr="004124FE" w:rsidRDefault="004124FE" w:rsidP="004124FE">
            <w:pPr>
              <w:jc w:val="both"/>
              <w:rPr>
                <w:rFonts w:ascii="Times New Roman" w:hAnsi="Times New Roman" w:cs="Times New Roman"/>
                <w:bCs/>
                <w:sz w:val="20"/>
                <w:szCs w:val="20"/>
              </w:rPr>
            </w:pPr>
            <w:r>
              <w:rPr>
                <w:rFonts w:ascii="Times New Roman" w:hAnsi="Times New Roman" w:cs="Times New Roman"/>
                <w:bCs/>
                <w:sz w:val="20"/>
                <w:szCs w:val="20"/>
              </w:rPr>
              <w:t>36 miesięcy</w:t>
            </w:r>
            <w:r w:rsidRPr="004124FE">
              <w:rPr>
                <w:rFonts w:ascii="Times New Roman" w:hAnsi="Times New Roman" w:cs="Times New Roman"/>
                <w:bCs/>
                <w:sz w:val="20"/>
                <w:szCs w:val="20"/>
              </w:rPr>
              <w:t xml:space="preserve"> gwarancja producenta świadczona na miejscu u klienta</w:t>
            </w:r>
            <w:r>
              <w:rPr>
                <w:rFonts w:ascii="Times New Roman" w:hAnsi="Times New Roman" w:cs="Times New Roman"/>
                <w:bCs/>
                <w:sz w:val="20"/>
                <w:szCs w:val="20"/>
              </w:rPr>
              <w:t>.</w:t>
            </w:r>
          </w:p>
          <w:p w14:paraId="0ECC2E77" w14:textId="5FDD5FAA"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Czas reakcji serwisu - do końca następnego dnia roboczego</w:t>
            </w:r>
            <w:r>
              <w:rPr>
                <w:rFonts w:ascii="Times New Roman" w:hAnsi="Times New Roman" w:cs="Times New Roman"/>
                <w:bCs/>
                <w:sz w:val="20"/>
                <w:szCs w:val="20"/>
              </w:rPr>
              <w:t>.</w:t>
            </w:r>
          </w:p>
          <w:p w14:paraId="4A1F4706"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lastRenderedPageBreak/>
              <w:t>Firma serwisująca musi posiadać ISO 9001: 2015 na świadczenie usług serwisowych oraz posiadać autoryzacje producenta komputera – dokumenty potwierdzające załączyć do oferty.</w:t>
            </w:r>
          </w:p>
          <w:p w14:paraId="2CF48912"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W przypadku awarii, dyski twarde zostają u Zamawiającego.</w:t>
            </w:r>
          </w:p>
          <w:p w14:paraId="3C3B53DA"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xml:space="preserve">Dedykowany portal techniczny producenta, umożliwiający Zamawiającemu zgłaszanie awarii oraz samodzielne zamawianie zamiennych komponentów. </w:t>
            </w:r>
          </w:p>
          <w:p w14:paraId="4B0CA3A4" w14:textId="6A360ADF"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r>
              <w:rPr>
                <w:rFonts w:ascii="Times New Roman" w:hAnsi="Times New Roman" w:cs="Times New Roman"/>
                <w:bCs/>
                <w:sz w:val="20"/>
                <w:szCs w:val="20"/>
              </w:rPr>
              <w:t>.</w:t>
            </w:r>
          </w:p>
        </w:tc>
      </w:tr>
      <w:tr w:rsidR="004124FE" w:rsidRPr="004124FE" w14:paraId="68D5DE9A" w14:textId="77777777" w:rsidTr="0005538C">
        <w:tc>
          <w:tcPr>
            <w:tcW w:w="2127" w:type="dxa"/>
            <w:shd w:val="clear" w:color="auto" w:fill="auto"/>
          </w:tcPr>
          <w:p w14:paraId="66B2F12F" w14:textId="77777777" w:rsidR="004124FE" w:rsidRPr="004124FE" w:rsidRDefault="004124FE" w:rsidP="0005538C">
            <w:pPr>
              <w:rPr>
                <w:rFonts w:ascii="Times New Roman" w:hAnsi="Times New Roman" w:cs="Times New Roman"/>
                <w:bCs/>
                <w:sz w:val="20"/>
                <w:szCs w:val="20"/>
              </w:rPr>
            </w:pPr>
            <w:r w:rsidRPr="004124FE">
              <w:rPr>
                <w:rFonts w:ascii="Times New Roman" w:hAnsi="Times New Roman" w:cs="Times New Roman"/>
                <w:bCs/>
                <w:sz w:val="20"/>
                <w:szCs w:val="20"/>
              </w:rPr>
              <w:lastRenderedPageBreak/>
              <w:t>Dodatkowe oprogramowanie</w:t>
            </w:r>
          </w:p>
        </w:tc>
        <w:tc>
          <w:tcPr>
            <w:tcW w:w="7938" w:type="dxa"/>
            <w:shd w:val="clear" w:color="auto" w:fill="auto"/>
          </w:tcPr>
          <w:p w14:paraId="79DB8910"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Oprogramowanie zarządzające producenta komputera, instalowane na etapie produkcji komputera, umożliwiające min.:</w:t>
            </w:r>
          </w:p>
          <w:p w14:paraId="762627B7" w14:textId="364C0C1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monitorowanie komputera i generowanie zgłoszeń o błędach / nieprawidłowym działaniu w</w:t>
            </w:r>
            <w:r>
              <w:rPr>
                <w:rFonts w:ascii="Times New Roman" w:hAnsi="Times New Roman" w:cs="Times New Roman"/>
                <w:bCs/>
                <w:sz w:val="20"/>
                <w:szCs w:val="20"/>
              </w:rPr>
              <w:t> </w:t>
            </w:r>
            <w:r w:rsidRPr="004124FE">
              <w:rPr>
                <w:rFonts w:ascii="Times New Roman" w:hAnsi="Times New Roman" w:cs="Times New Roman"/>
                <w:bCs/>
                <w:sz w:val="20"/>
                <w:szCs w:val="20"/>
              </w:rPr>
              <w:t xml:space="preserve"> zakresie pracy komponentów i wydajności systemów</w:t>
            </w:r>
          </w:p>
          <w:p w14:paraId="30CE8FE4"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powiadamiania o nowych wersjach sterowników i umożliwienie użytkownikowi wykonania upgrade systemu</w:t>
            </w:r>
          </w:p>
          <w:p w14:paraId="7F72F3C4"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powiadamianie o problemach wydajnościowych i diagnozowanie / rozwiązywanie takich problemów</w:t>
            </w:r>
          </w:p>
          <w:p w14:paraId="77FEB384"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 śledzenia kluczowych komponentów i przewidywanie awarii przed ich wystąpieniem.</w:t>
            </w:r>
          </w:p>
          <w:p w14:paraId="0139BEFA" w14:textId="77777777" w:rsidR="004124FE" w:rsidRPr="004124FE" w:rsidRDefault="004124FE" w:rsidP="004124FE">
            <w:pPr>
              <w:jc w:val="both"/>
              <w:rPr>
                <w:rFonts w:ascii="Times New Roman" w:hAnsi="Times New Roman" w:cs="Times New Roman"/>
                <w:bCs/>
                <w:sz w:val="20"/>
                <w:szCs w:val="20"/>
              </w:rPr>
            </w:pPr>
            <w:r w:rsidRPr="004124FE">
              <w:rPr>
                <w:rFonts w:ascii="Times New Roman" w:hAnsi="Times New Roman" w:cs="Times New Roman"/>
                <w:bCs/>
                <w:sz w:val="20"/>
                <w:szCs w:val="20"/>
              </w:rPr>
              <w:t>Oprogramowanie producenta z nieograniczoną licencją czasowo na użytkowanie umożliwiające:</w:t>
            </w:r>
          </w:p>
          <w:p w14:paraId="1F601F37" w14:textId="77777777"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 xml:space="preserve">upgrade i instalacje wszystkich sterowników, aplikacji dostarczonych w obrazie systemu operacyjnego producenta, BIOS’u z certyfikatem zgodności producenta do najnowszej dostępnej wersji, </w:t>
            </w:r>
          </w:p>
          <w:p w14:paraId="459A42C5" w14:textId="1E78AA98"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możliwość przed instalacją sprawdzenia każdego sterownika, każdej aplikacji, BIOS’u bezpośrednio na stronie producenta przy użyciu połączenia internetowego z</w:t>
            </w:r>
            <w:r>
              <w:rPr>
                <w:rFonts w:ascii="Times New Roman" w:hAnsi="Times New Roman" w:cs="Times New Roman"/>
                <w:bCs/>
                <w:sz w:val="20"/>
                <w:szCs w:val="20"/>
              </w:rPr>
              <w:t> </w:t>
            </w:r>
            <w:r w:rsidRPr="004124FE">
              <w:rPr>
                <w:rFonts w:ascii="Times New Roman" w:hAnsi="Times New Roman" w:cs="Times New Roman"/>
                <w:bCs/>
                <w:sz w:val="20"/>
                <w:szCs w:val="20"/>
              </w:rPr>
              <w:t xml:space="preserve"> automatycznym przekierowaniem a w szczególności informacji o:</w:t>
            </w:r>
          </w:p>
          <w:p w14:paraId="4A0050FA"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poprawkach i usprawnieniach dotyczących aktualizacji</w:t>
            </w:r>
          </w:p>
          <w:p w14:paraId="092F5B0B"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dacie wydania ostatniej aktualizacji</w:t>
            </w:r>
          </w:p>
          <w:p w14:paraId="78C46EC3"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priorytecie aktualizacji</w:t>
            </w:r>
          </w:p>
          <w:p w14:paraId="22DA30C5"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zgodności z systemami operacyjnymi</w:t>
            </w:r>
          </w:p>
          <w:p w14:paraId="278DA7D8"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jakiego komponentu sprzętu dotyczy aktualizacja</w:t>
            </w:r>
          </w:p>
          <w:p w14:paraId="006CDEBE" w14:textId="77777777" w:rsidR="004124FE" w:rsidRPr="004124FE" w:rsidRDefault="004124FE" w:rsidP="004124FE">
            <w:pPr>
              <w:pStyle w:val="Akapitzlist"/>
              <w:numPr>
                <w:ilvl w:val="1"/>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wszystkich poprzednich aktualizacjach z informacjami jak powyżej.</w:t>
            </w:r>
          </w:p>
          <w:p w14:paraId="6BA9C742" w14:textId="77777777"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wykaz najnowszych aktualizacji z podziałem na krytyczne (wymagające natychmiastowej instalacji), rekomendowane i opcjonalne</w:t>
            </w:r>
          </w:p>
          <w:p w14:paraId="6B4E1D92" w14:textId="77777777"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możliwość włączenia/wyłączenia funkcji automatycznego restartu w przypadku kiedy jest wymagany przy instalacji sterownika, aplikacji która tego wymaga.</w:t>
            </w:r>
          </w:p>
          <w:p w14:paraId="2ED15351" w14:textId="163553B3"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rozpoznanie modelu oferowanego komputera, numer seryjny komputera, informację kiedy dokonany został ostatnio upgrade w szczególności z uwzględnieniem daty ( dd-</w:t>
            </w:r>
            <w:r>
              <w:rPr>
                <w:rFonts w:ascii="Times New Roman" w:hAnsi="Times New Roman" w:cs="Times New Roman"/>
                <w:bCs/>
                <w:sz w:val="20"/>
                <w:szCs w:val="20"/>
              </w:rPr>
              <w:t> </w:t>
            </w:r>
            <w:r w:rsidRPr="004124FE">
              <w:rPr>
                <w:rFonts w:ascii="Times New Roman" w:hAnsi="Times New Roman" w:cs="Times New Roman"/>
                <w:bCs/>
                <w:sz w:val="20"/>
                <w:szCs w:val="20"/>
              </w:rPr>
              <w:t>mm-rrrr )</w:t>
            </w:r>
          </w:p>
          <w:p w14:paraId="2F7605D8" w14:textId="16D8C2A3"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sprawdzenia historii upgrade’u z informacją jakie sterowniki były instalowane z</w:t>
            </w:r>
            <w:r>
              <w:rPr>
                <w:rFonts w:ascii="Times New Roman" w:hAnsi="Times New Roman" w:cs="Times New Roman"/>
                <w:bCs/>
                <w:sz w:val="20"/>
                <w:szCs w:val="20"/>
              </w:rPr>
              <w:t> </w:t>
            </w:r>
            <w:r w:rsidRPr="004124FE">
              <w:rPr>
                <w:rFonts w:ascii="Times New Roman" w:hAnsi="Times New Roman" w:cs="Times New Roman"/>
                <w:bCs/>
                <w:sz w:val="20"/>
                <w:szCs w:val="20"/>
              </w:rPr>
              <w:t xml:space="preserve"> dokładną datą ( dd-mm-rrrr) i wersją (rewizja wydania)</w:t>
            </w:r>
          </w:p>
          <w:p w14:paraId="5DCB0AE1" w14:textId="14AF9B11"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dokładny wykaz wymaganych sterowników, aplikacji, BIOS’u z informacją o</w:t>
            </w:r>
            <w:r>
              <w:rPr>
                <w:rFonts w:ascii="Times New Roman" w:hAnsi="Times New Roman" w:cs="Times New Roman"/>
                <w:bCs/>
                <w:sz w:val="20"/>
                <w:szCs w:val="20"/>
              </w:rPr>
              <w:t> </w:t>
            </w:r>
            <w:r w:rsidRPr="004124FE">
              <w:rPr>
                <w:rFonts w:ascii="Times New Roman" w:hAnsi="Times New Roman" w:cs="Times New Roman"/>
                <w:bCs/>
                <w:sz w:val="20"/>
                <w:szCs w:val="20"/>
              </w:rPr>
              <w:t xml:space="preserve"> zainstalowanej obecnie wersji dla oferowanego komputera z możliwością exportu do pliku o rozszerzeniu *.xml</w:t>
            </w:r>
          </w:p>
          <w:p w14:paraId="516D4AA8" w14:textId="2FDCA954" w:rsidR="004124FE" w:rsidRPr="004124FE" w:rsidRDefault="004124FE" w:rsidP="004124FE">
            <w:pPr>
              <w:pStyle w:val="Akapitzlist"/>
              <w:numPr>
                <w:ilvl w:val="0"/>
                <w:numId w:val="23"/>
              </w:numPr>
              <w:spacing w:after="160" w:line="240" w:lineRule="auto"/>
              <w:jc w:val="both"/>
              <w:rPr>
                <w:rFonts w:ascii="Times New Roman" w:hAnsi="Times New Roman" w:cs="Times New Roman"/>
                <w:bCs/>
                <w:sz w:val="20"/>
                <w:szCs w:val="20"/>
              </w:rPr>
            </w:pPr>
            <w:r w:rsidRPr="004124FE">
              <w:rPr>
                <w:rFonts w:ascii="Times New Roman" w:hAnsi="Times New Roman" w:cs="Times New Roman"/>
                <w:bCs/>
                <w:sz w:val="20"/>
                <w:szCs w:val="20"/>
              </w:rPr>
              <w:t>raport uwzględniający informacje o: sprawdzaniu aktualizacji, znalezionych aktualizacjach, ściągniętych aktualizacjach , zainstalowanych aktualizacjach z</w:t>
            </w:r>
            <w:r>
              <w:rPr>
                <w:rFonts w:ascii="Times New Roman" w:hAnsi="Times New Roman" w:cs="Times New Roman"/>
                <w:bCs/>
                <w:sz w:val="20"/>
                <w:szCs w:val="20"/>
              </w:rPr>
              <w:t> </w:t>
            </w:r>
            <w:r w:rsidRPr="004124FE">
              <w:rPr>
                <w:rFonts w:ascii="Times New Roman" w:hAnsi="Times New Roman" w:cs="Times New Roman"/>
                <w:bCs/>
                <w:sz w:val="20"/>
                <w:szCs w:val="20"/>
              </w:rPr>
              <w:t xml:space="preserve"> dokładnym rozbiciem jakich komponentów to dotyczyło, błędach podczas </w:t>
            </w:r>
            <w:r w:rsidRPr="004124FE">
              <w:rPr>
                <w:rFonts w:ascii="Times New Roman" w:hAnsi="Times New Roman" w:cs="Times New Roman"/>
                <w:bCs/>
                <w:sz w:val="20"/>
                <w:szCs w:val="20"/>
              </w:rPr>
              <w:lastRenderedPageBreak/>
              <w:t>sprawdzania, instalowania oraz możliwość exportu takiego raportu do pliku *.xml od razu spakowany z rozszerzeniem *.zip. Raport musi zawierać z dokładną datą ( dd-mm-rrrr ) i godziną z podjętych i wykonanych akcji/zadań w przedziale czasowym do min. 1 roku.</w:t>
            </w:r>
          </w:p>
        </w:tc>
      </w:tr>
    </w:tbl>
    <w:p w14:paraId="66987DCE" w14:textId="0499B546" w:rsidR="00BE2AE5" w:rsidRPr="004124FE" w:rsidRDefault="00BE2AE5" w:rsidP="004124FE">
      <w:pPr>
        <w:spacing w:after="0" w:line="360" w:lineRule="auto"/>
        <w:jc w:val="both"/>
        <w:rPr>
          <w:rFonts w:ascii="Times New Roman" w:hAnsi="Times New Roman" w:cs="Times New Roman"/>
          <w:sz w:val="20"/>
          <w:szCs w:val="20"/>
        </w:rPr>
      </w:pPr>
    </w:p>
    <w:sectPr w:rsidR="00BE2AE5" w:rsidRPr="004124FE" w:rsidSect="003E51C2">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1E23" w16cex:dateUtc="2021-03-05T20:16:00Z"/>
  <w16cex:commentExtensible w16cex:durableId="23EE6952" w16cex:dateUtc="2021-03-06T19:49:00Z"/>
  <w16cex:commentExtensible w16cex:durableId="23ED2060" w16cex:dateUtc="2021-03-0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C6A90" w16cid:durableId="23ED1E23"/>
  <w16cid:commentId w16cid:paraId="1B00BA58" w16cid:durableId="23EE6952"/>
  <w16cid:commentId w16cid:paraId="1E3D3DB1" w16cid:durableId="23ED20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8AB7" w14:textId="77777777" w:rsidR="008C6243" w:rsidRDefault="008C6243">
      <w:pPr>
        <w:spacing w:after="0" w:line="240" w:lineRule="auto"/>
      </w:pPr>
      <w:r>
        <w:separator/>
      </w:r>
    </w:p>
  </w:endnote>
  <w:endnote w:type="continuationSeparator" w:id="0">
    <w:p w14:paraId="0C897EF0" w14:textId="77777777" w:rsidR="008C6243" w:rsidRDefault="008C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744142EC" w14:textId="77777777" w:rsidR="00583AC9" w:rsidRPr="00583AC9" w:rsidRDefault="0074005A">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204B22">
          <w:rPr>
            <w:noProof/>
            <w:sz w:val="16"/>
            <w:szCs w:val="16"/>
          </w:rPr>
          <w:t>1</w:t>
        </w:r>
        <w:r w:rsidRPr="00583AC9">
          <w:rPr>
            <w:sz w:val="16"/>
            <w:szCs w:val="16"/>
          </w:rPr>
          <w:fldChar w:fldCharType="end"/>
        </w:r>
      </w:p>
    </w:sdtContent>
  </w:sdt>
  <w:p w14:paraId="06B147AE"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3CB7" w14:textId="77777777" w:rsidR="008C6243" w:rsidRDefault="008C6243">
      <w:pPr>
        <w:spacing w:after="0" w:line="240" w:lineRule="auto"/>
      </w:pPr>
      <w:r>
        <w:separator/>
      </w:r>
    </w:p>
  </w:footnote>
  <w:footnote w:type="continuationSeparator" w:id="0">
    <w:p w14:paraId="56BE2C5F" w14:textId="77777777" w:rsidR="008C6243" w:rsidRDefault="008C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153831B0"/>
    <w:multiLevelType w:val="hybridMultilevel"/>
    <w:tmpl w:val="EF7E7966"/>
    <w:lvl w:ilvl="0" w:tplc="64E2AB32">
      <w:start w:val="1"/>
      <w:numFmt w:val="decimal"/>
      <w:lvlText w:val="%1."/>
      <w:lvlJc w:val="left"/>
      <w:pPr>
        <w:ind w:left="720" w:hanging="360"/>
      </w:pPr>
      <w:rPr>
        <w:rFonts w:ascii="Times New Roman" w:eastAsia="Calibri"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2B83467"/>
    <w:multiLevelType w:val="hybridMultilevel"/>
    <w:tmpl w:val="297E4B82"/>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42F569F"/>
    <w:multiLevelType w:val="hybridMultilevel"/>
    <w:tmpl w:val="41524950"/>
    <w:lvl w:ilvl="0" w:tplc="D75A12FC">
      <w:start w:val="1"/>
      <w:numFmt w:val="lowerLetter"/>
      <w:lvlText w:val="%1)"/>
      <w:lvlJc w:val="left"/>
      <w:pPr>
        <w:ind w:left="360" w:hanging="360"/>
      </w:pPr>
      <w:rPr>
        <w:rFonts w:ascii="Times New Roman" w:eastAsiaTheme="minorHAnsi"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7F3543"/>
    <w:multiLevelType w:val="hybridMultilevel"/>
    <w:tmpl w:val="842C0F10"/>
    <w:lvl w:ilvl="0" w:tplc="CBD682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236400"/>
    <w:multiLevelType w:val="hybridMultilevel"/>
    <w:tmpl w:val="035AF7AE"/>
    <w:lvl w:ilvl="0" w:tplc="5E9AAE46">
      <w:start w:val="1"/>
      <w:numFmt w:val="decimal"/>
      <w:lvlText w:val="%1."/>
      <w:lvlJc w:val="left"/>
      <w:pPr>
        <w:tabs>
          <w:tab w:val="num" w:pos="-852"/>
        </w:tabs>
        <w:ind w:left="-852" w:hanging="360"/>
      </w:pPr>
      <w:rPr>
        <w:rFonts w:ascii="Times New Roman" w:eastAsia="Calibri" w:hAnsi="Times New Roman"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56CBB"/>
    <w:multiLevelType w:val="hybridMultilevel"/>
    <w:tmpl w:val="20D0152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71DD2"/>
    <w:multiLevelType w:val="hybridMultilevel"/>
    <w:tmpl w:val="7AD24408"/>
    <w:lvl w:ilvl="0" w:tplc="64E2AB32">
      <w:start w:val="1"/>
      <w:numFmt w:val="decimal"/>
      <w:lvlText w:val="%1."/>
      <w:lvlJc w:val="left"/>
      <w:pPr>
        <w:tabs>
          <w:tab w:val="num" w:pos="720"/>
        </w:tabs>
        <w:ind w:left="720" w:hanging="360"/>
      </w:pPr>
      <w:rPr>
        <w:rFonts w:ascii="Times New Roman" w:eastAsia="Calibri"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F171B4"/>
    <w:multiLevelType w:val="hybridMultilevel"/>
    <w:tmpl w:val="968CE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D86BFB"/>
    <w:multiLevelType w:val="hybridMultilevel"/>
    <w:tmpl w:val="92203F9E"/>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FF062C8"/>
    <w:multiLevelType w:val="hybridMultilevel"/>
    <w:tmpl w:val="A5D66D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24"/>
  </w:num>
  <w:num w:numId="2">
    <w:abstractNumId w:val="5"/>
  </w:num>
  <w:num w:numId="3">
    <w:abstractNumId w:val="20"/>
  </w:num>
  <w:num w:numId="4">
    <w:abstractNumId w:val="18"/>
  </w:num>
  <w:num w:numId="5">
    <w:abstractNumId w:val="15"/>
  </w:num>
  <w:num w:numId="6">
    <w:abstractNumId w:val="12"/>
  </w:num>
  <w:num w:numId="7">
    <w:abstractNumId w:val="7"/>
  </w:num>
  <w:num w:numId="8">
    <w:abstractNumId w:val="17"/>
  </w:num>
  <w:num w:numId="9">
    <w:abstractNumId w:val="19"/>
  </w:num>
  <w:num w:numId="10">
    <w:abstractNumId w:val="23"/>
  </w:num>
  <w:num w:numId="11">
    <w:abstractNumId w:val="10"/>
  </w:num>
  <w:num w:numId="12">
    <w:abstractNumId w:val="22"/>
  </w:num>
  <w:num w:numId="13">
    <w:abstractNumId w:val="8"/>
  </w:num>
  <w:num w:numId="14">
    <w:abstractNumId w:val="11"/>
  </w:num>
  <w:num w:numId="15">
    <w:abstractNumId w:val="26"/>
  </w:num>
  <w:num w:numId="16">
    <w:abstractNumId w:val="25"/>
  </w:num>
  <w:num w:numId="17">
    <w:abstractNumId w:val="16"/>
  </w:num>
  <w:num w:numId="18">
    <w:abstractNumId w:val="9"/>
  </w:num>
  <w:num w:numId="19">
    <w:abstractNumId w:val="21"/>
  </w:num>
  <w:num w:numId="20">
    <w:abstractNumId w:val="4"/>
  </w:num>
  <w:num w:numId="21">
    <w:abstractNumId w:val="6"/>
  </w:num>
  <w:num w:numId="22">
    <w:abstractNumId w:val="14"/>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CA"/>
    <w:rsid w:val="000156F5"/>
    <w:rsid w:val="00022F53"/>
    <w:rsid w:val="00031275"/>
    <w:rsid w:val="00042662"/>
    <w:rsid w:val="00047099"/>
    <w:rsid w:val="000501EF"/>
    <w:rsid w:val="00050C86"/>
    <w:rsid w:val="00052C0A"/>
    <w:rsid w:val="00055C78"/>
    <w:rsid w:val="000565E2"/>
    <w:rsid w:val="00056D3F"/>
    <w:rsid w:val="00057D47"/>
    <w:rsid w:val="00060AD8"/>
    <w:rsid w:val="000A3A12"/>
    <w:rsid w:val="000B07CB"/>
    <w:rsid w:val="000B11B0"/>
    <w:rsid w:val="000B1B54"/>
    <w:rsid w:val="000B41B8"/>
    <w:rsid w:val="000D1BD5"/>
    <w:rsid w:val="000D58DD"/>
    <w:rsid w:val="000F0545"/>
    <w:rsid w:val="000F3D62"/>
    <w:rsid w:val="001019A2"/>
    <w:rsid w:val="00110B4C"/>
    <w:rsid w:val="001137D7"/>
    <w:rsid w:val="00131937"/>
    <w:rsid w:val="001417E5"/>
    <w:rsid w:val="0014723B"/>
    <w:rsid w:val="00151EE2"/>
    <w:rsid w:val="001549B4"/>
    <w:rsid w:val="001717B8"/>
    <w:rsid w:val="00172530"/>
    <w:rsid w:val="00180693"/>
    <w:rsid w:val="0019751D"/>
    <w:rsid w:val="001A57ED"/>
    <w:rsid w:val="001A6CED"/>
    <w:rsid w:val="001A727A"/>
    <w:rsid w:val="001B6387"/>
    <w:rsid w:val="001B6B36"/>
    <w:rsid w:val="001C3AD4"/>
    <w:rsid w:val="001C5649"/>
    <w:rsid w:val="001D0FD8"/>
    <w:rsid w:val="001F173C"/>
    <w:rsid w:val="002013D9"/>
    <w:rsid w:val="00204122"/>
    <w:rsid w:val="00204B22"/>
    <w:rsid w:val="0021131E"/>
    <w:rsid w:val="00211AD4"/>
    <w:rsid w:val="0023100E"/>
    <w:rsid w:val="002346FF"/>
    <w:rsid w:val="0024361A"/>
    <w:rsid w:val="0024365B"/>
    <w:rsid w:val="00251923"/>
    <w:rsid w:val="00272E71"/>
    <w:rsid w:val="00273353"/>
    <w:rsid w:val="002736D5"/>
    <w:rsid w:val="002A1EC1"/>
    <w:rsid w:val="002A7BFD"/>
    <w:rsid w:val="002B16CA"/>
    <w:rsid w:val="002B2304"/>
    <w:rsid w:val="002D4C43"/>
    <w:rsid w:val="002D5128"/>
    <w:rsid w:val="002E1D52"/>
    <w:rsid w:val="002E44B9"/>
    <w:rsid w:val="003013A8"/>
    <w:rsid w:val="00304049"/>
    <w:rsid w:val="00311788"/>
    <w:rsid w:val="0031291F"/>
    <w:rsid w:val="0031453D"/>
    <w:rsid w:val="00322D91"/>
    <w:rsid w:val="00333C2F"/>
    <w:rsid w:val="0033512E"/>
    <w:rsid w:val="003375FE"/>
    <w:rsid w:val="00341779"/>
    <w:rsid w:val="0034414D"/>
    <w:rsid w:val="003755DE"/>
    <w:rsid w:val="003833E8"/>
    <w:rsid w:val="00395F50"/>
    <w:rsid w:val="00397CFF"/>
    <w:rsid w:val="003A31C5"/>
    <w:rsid w:val="003D4E25"/>
    <w:rsid w:val="003D5B5F"/>
    <w:rsid w:val="003E04EC"/>
    <w:rsid w:val="003E2ED9"/>
    <w:rsid w:val="003E51C2"/>
    <w:rsid w:val="003E608E"/>
    <w:rsid w:val="003F0700"/>
    <w:rsid w:val="003F1581"/>
    <w:rsid w:val="00406ED8"/>
    <w:rsid w:val="004124FE"/>
    <w:rsid w:val="00412961"/>
    <w:rsid w:val="00415531"/>
    <w:rsid w:val="00415562"/>
    <w:rsid w:val="004161B5"/>
    <w:rsid w:val="004229A7"/>
    <w:rsid w:val="004256BF"/>
    <w:rsid w:val="0043725B"/>
    <w:rsid w:val="00445C24"/>
    <w:rsid w:val="00445DDC"/>
    <w:rsid w:val="00452458"/>
    <w:rsid w:val="00456BE6"/>
    <w:rsid w:val="00465525"/>
    <w:rsid w:val="00471F43"/>
    <w:rsid w:val="0047270E"/>
    <w:rsid w:val="0047464F"/>
    <w:rsid w:val="00484DDF"/>
    <w:rsid w:val="004A0E7B"/>
    <w:rsid w:val="004A5069"/>
    <w:rsid w:val="004C40A4"/>
    <w:rsid w:val="004D49CC"/>
    <w:rsid w:val="004D60A7"/>
    <w:rsid w:val="004D6E4D"/>
    <w:rsid w:val="004E5145"/>
    <w:rsid w:val="005104B1"/>
    <w:rsid w:val="00516AE3"/>
    <w:rsid w:val="00522749"/>
    <w:rsid w:val="00522B01"/>
    <w:rsid w:val="00524AF0"/>
    <w:rsid w:val="005279F5"/>
    <w:rsid w:val="00535BC4"/>
    <w:rsid w:val="0054230C"/>
    <w:rsid w:val="00547A33"/>
    <w:rsid w:val="0055518A"/>
    <w:rsid w:val="0056376B"/>
    <w:rsid w:val="00570A6F"/>
    <w:rsid w:val="005717FE"/>
    <w:rsid w:val="00574945"/>
    <w:rsid w:val="00577D52"/>
    <w:rsid w:val="0058030B"/>
    <w:rsid w:val="005836FB"/>
    <w:rsid w:val="00583A03"/>
    <w:rsid w:val="00583AC9"/>
    <w:rsid w:val="005A3B34"/>
    <w:rsid w:val="005A3E2C"/>
    <w:rsid w:val="005A54A1"/>
    <w:rsid w:val="005B68F5"/>
    <w:rsid w:val="005F1A80"/>
    <w:rsid w:val="005F3D38"/>
    <w:rsid w:val="005F621C"/>
    <w:rsid w:val="005F627B"/>
    <w:rsid w:val="00613870"/>
    <w:rsid w:val="00614B94"/>
    <w:rsid w:val="00662244"/>
    <w:rsid w:val="00694992"/>
    <w:rsid w:val="006955B6"/>
    <w:rsid w:val="006B30E7"/>
    <w:rsid w:val="006C2AD2"/>
    <w:rsid w:val="006C756B"/>
    <w:rsid w:val="006E1A36"/>
    <w:rsid w:val="006E2934"/>
    <w:rsid w:val="006F33A0"/>
    <w:rsid w:val="00712C03"/>
    <w:rsid w:val="00724656"/>
    <w:rsid w:val="00737EF7"/>
    <w:rsid w:val="0074005A"/>
    <w:rsid w:val="00745C50"/>
    <w:rsid w:val="00757DFB"/>
    <w:rsid w:val="00761BDE"/>
    <w:rsid w:val="00762BA9"/>
    <w:rsid w:val="00790622"/>
    <w:rsid w:val="007A41C2"/>
    <w:rsid w:val="007B7837"/>
    <w:rsid w:val="007C376E"/>
    <w:rsid w:val="007C6E4C"/>
    <w:rsid w:val="007D2599"/>
    <w:rsid w:val="007D7346"/>
    <w:rsid w:val="007E2666"/>
    <w:rsid w:val="007F7561"/>
    <w:rsid w:val="00804805"/>
    <w:rsid w:val="00807A67"/>
    <w:rsid w:val="00810624"/>
    <w:rsid w:val="00811432"/>
    <w:rsid w:val="008130F9"/>
    <w:rsid w:val="00817AD0"/>
    <w:rsid w:val="00831118"/>
    <w:rsid w:val="00844BDD"/>
    <w:rsid w:val="00846613"/>
    <w:rsid w:val="00856A06"/>
    <w:rsid w:val="008738CD"/>
    <w:rsid w:val="00876455"/>
    <w:rsid w:val="008835B7"/>
    <w:rsid w:val="00896B2B"/>
    <w:rsid w:val="00897ADA"/>
    <w:rsid w:val="008A3F99"/>
    <w:rsid w:val="008B7FD7"/>
    <w:rsid w:val="008C04E9"/>
    <w:rsid w:val="008C44B3"/>
    <w:rsid w:val="008C6243"/>
    <w:rsid w:val="008C7608"/>
    <w:rsid w:val="008C763F"/>
    <w:rsid w:val="008C7BFD"/>
    <w:rsid w:val="008D3F2F"/>
    <w:rsid w:val="008D7562"/>
    <w:rsid w:val="008E06B8"/>
    <w:rsid w:val="008E2B2F"/>
    <w:rsid w:val="008E3A14"/>
    <w:rsid w:val="008E73ED"/>
    <w:rsid w:val="008F56BA"/>
    <w:rsid w:val="0090665F"/>
    <w:rsid w:val="0091471E"/>
    <w:rsid w:val="00945657"/>
    <w:rsid w:val="00950AD5"/>
    <w:rsid w:val="00954814"/>
    <w:rsid w:val="009577CD"/>
    <w:rsid w:val="00973819"/>
    <w:rsid w:val="00994B30"/>
    <w:rsid w:val="00995BF1"/>
    <w:rsid w:val="009A326B"/>
    <w:rsid w:val="009A38EF"/>
    <w:rsid w:val="009B3531"/>
    <w:rsid w:val="009B534D"/>
    <w:rsid w:val="009B68CE"/>
    <w:rsid w:val="009D1178"/>
    <w:rsid w:val="009D3ADF"/>
    <w:rsid w:val="009D73EC"/>
    <w:rsid w:val="00A1034C"/>
    <w:rsid w:val="00A12455"/>
    <w:rsid w:val="00A13A18"/>
    <w:rsid w:val="00A211C3"/>
    <w:rsid w:val="00A32B4C"/>
    <w:rsid w:val="00A32BD4"/>
    <w:rsid w:val="00A35488"/>
    <w:rsid w:val="00A63214"/>
    <w:rsid w:val="00A63726"/>
    <w:rsid w:val="00A727DA"/>
    <w:rsid w:val="00A82F82"/>
    <w:rsid w:val="00A8437B"/>
    <w:rsid w:val="00A90DB2"/>
    <w:rsid w:val="00A96FB6"/>
    <w:rsid w:val="00AA1679"/>
    <w:rsid w:val="00AA1B66"/>
    <w:rsid w:val="00AB1B23"/>
    <w:rsid w:val="00AD417C"/>
    <w:rsid w:val="00AD774F"/>
    <w:rsid w:val="00AE0C10"/>
    <w:rsid w:val="00AE53DA"/>
    <w:rsid w:val="00AF297F"/>
    <w:rsid w:val="00B06048"/>
    <w:rsid w:val="00B2118F"/>
    <w:rsid w:val="00B30247"/>
    <w:rsid w:val="00B447ED"/>
    <w:rsid w:val="00B50C38"/>
    <w:rsid w:val="00B55344"/>
    <w:rsid w:val="00B65D21"/>
    <w:rsid w:val="00B706D5"/>
    <w:rsid w:val="00B81A8E"/>
    <w:rsid w:val="00B9484C"/>
    <w:rsid w:val="00B96DB4"/>
    <w:rsid w:val="00BA052A"/>
    <w:rsid w:val="00BB7F2A"/>
    <w:rsid w:val="00BE1DBD"/>
    <w:rsid w:val="00BE2AE5"/>
    <w:rsid w:val="00BE6811"/>
    <w:rsid w:val="00BF08DA"/>
    <w:rsid w:val="00C03A3D"/>
    <w:rsid w:val="00C17460"/>
    <w:rsid w:val="00C3076E"/>
    <w:rsid w:val="00C35BD6"/>
    <w:rsid w:val="00C83127"/>
    <w:rsid w:val="00C862AB"/>
    <w:rsid w:val="00C92AF8"/>
    <w:rsid w:val="00CA117D"/>
    <w:rsid w:val="00CA26EE"/>
    <w:rsid w:val="00CA35CA"/>
    <w:rsid w:val="00CB0083"/>
    <w:rsid w:val="00CB5B87"/>
    <w:rsid w:val="00CC4C73"/>
    <w:rsid w:val="00CD3C67"/>
    <w:rsid w:val="00CE006D"/>
    <w:rsid w:val="00CF1740"/>
    <w:rsid w:val="00CF3751"/>
    <w:rsid w:val="00D0133B"/>
    <w:rsid w:val="00D1167D"/>
    <w:rsid w:val="00D206DF"/>
    <w:rsid w:val="00D222CA"/>
    <w:rsid w:val="00D269D3"/>
    <w:rsid w:val="00D35EB8"/>
    <w:rsid w:val="00D37FDB"/>
    <w:rsid w:val="00D509C9"/>
    <w:rsid w:val="00D52FAE"/>
    <w:rsid w:val="00D7632F"/>
    <w:rsid w:val="00D858A3"/>
    <w:rsid w:val="00DA1B6E"/>
    <w:rsid w:val="00DA287E"/>
    <w:rsid w:val="00DA2F1E"/>
    <w:rsid w:val="00DB684A"/>
    <w:rsid w:val="00DE3020"/>
    <w:rsid w:val="00E01962"/>
    <w:rsid w:val="00E01D9E"/>
    <w:rsid w:val="00E02E75"/>
    <w:rsid w:val="00E0417B"/>
    <w:rsid w:val="00E05F6B"/>
    <w:rsid w:val="00E10399"/>
    <w:rsid w:val="00E334CB"/>
    <w:rsid w:val="00E50630"/>
    <w:rsid w:val="00E53E7A"/>
    <w:rsid w:val="00E57018"/>
    <w:rsid w:val="00E611E0"/>
    <w:rsid w:val="00E62515"/>
    <w:rsid w:val="00E72B16"/>
    <w:rsid w:val="00E84898"/>
    <w:rsid w:val="00E92BFB"/>
    <w:rsid w:val="00E97266"/>
    <w:rsid w:val="00EA5118"/>
    <w:rsid w:val="00EB3679"/>
    <w:rsid w:val="00EB78F6"/>
    <w:rsid w:val="00ED14FE"/>
    <w:rsid w:val="00EE1C7D"/>
    <w:rsid w:val="00EE2DAA"/>
    <w:rsid w:val="00EE3E81"/>
    <w:rsid w:val="00EF0C18"/>
    <w:rsid w:val="00F1511C"/>
    <w:rsid w:val="00F32B54"/>
    <w:rsid w:val="00F36984"/>
    <w:rsid w:val="00F37DD1"/>
    <w:rsid w:val="00F45827"/>
    <w:rsid w:val="00F50F54"/>
    <w:rsid w:val="00F543F8"/>
    <w:rsid w:val="00F60201"/>
    <w:rsid w:val="00F67ECC"/>
    <w:rsid w:val="00F71C0B"/>
    <w:rsid w:val="00F7355A"/>
    <w:rsid w:val="00F756FC"/>
    <w:rsid w:val="00F81706"/>
    <w:rsid w:val="00F81DBE"/>
    <w:rsid w:val="00F8264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BAF8"/>
  <w15:docId w15:val="{BEAFFA66-B0B7-4BAB-A710-8984CC3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Bezodstpw"/>
    <w:link w:val="Nagwek1Znak"/>
    <w:uiPriority w:val="9"/>
    <w:qFormat/>
    <w:rsid w:val="00C92AF8"/>
    <w:pPr>
      <w:spacing w:before="100" w:beforeAutospacing="1" w:after="100" w:afterAutospacing="1"/>
      <w:jc w:val="center"/>
      <w:outlineLvl w:val="0"/>
    </w:pPr>
    <w:rPr>
      <w:rFonts w:ascii="Times New Roman" w:eastAsia="Times New Roman" w:hAnsi="Times New Roman" w:cs="Times New Roman"/>
      <w:b/>
      <w:bCs/>
      <w:kern w:val="36"/>
      <w:sz w:val="20"/>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nhideWhenUsed/>
    <w:rsid w:val="00DA2F1E"/>
    <w:rPr>
      <w:color w:val="0000FF"/>
      <w:u w:val="single"/>
    </w:rPr>
  </w:style>
  <w:style w:type="character" w:customStyle="1" w:styleId="Nagwek1Znak">
    <w:name w:val="Nagłówek 1 Znak"/>
    <w:basedOn w:val="Domylnaczcionkaakapitu"/>
    <w:link w:val="Nagwek1"/>
    <w:uiPriority w:val="9"/>
    <w:rsid w:val="00C92AF8"/>
    <w:rPr>
      <w:rFonts w:ascii="Times New Roman" w:eastAsia="Times New Roman" w:hAnsi="Times New Roman" w:cs="Times New Roman"/>
      <w:b/>
      <w:bCs/>
      <w:kern w:val="36"/>
      <w:sz w:val="20"/>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Bezodstpw">
    <w:name w:val="No Spacing"/>
    <w:uiPriority w:val="1"/>
    <w:qFormat/>
    <w:rsid w:val="00C92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2C7B-F72E-4B5A-A22C-AED979B6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2143</Words>
  <Characters>12861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15</cp:revision>
  <dcterms:created xsi:type="dcterms:W3CDTF">2021-03-11T07:40:00Z</dcterms:created>
  <dcterms:modified xsi:type="dcterms:W3CDTF">2021-06-29T11:50:00Z</dcterms:modified>
</cp:coreProperties>
</file>