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296263">
        <w:rPr>
          <w:sz w:val="20"/>
          <w:szCs w:val="20"/>
        </w:rPr>
        <w:t>0</w:t>
      </w:r>
      <w:r w:rsidR="009554D5">
        <w:rPr>
          <w:sz w:val="20"/>
          <w:szCs w:val="20"/>
        </w:rPr>
        <w:t>4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087C54">
        <w:rPr>
          <w:sz w:val="20"/>
          <w:szCs w:val="20"/>
        </w:rPr>
        <w:t>7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</w:t>
      </w:r>
      <w:r w:rsidR="00087C54">
        <w:rPr>
          <w:color w:val="000000"/>
          <w:sz w:val="20"/>
          <w:szCs w:val="20"/>
        </w:rPr>
        <w:t>.285</w:t>
      </w:r>
      <w:r w:rsidR="00E41352" w:rsidRPr="00E41352">
        <w:rPr>
          <w:color w:val="000000"/>
          <w:sz w:val="20"/>
          <w:szCs w:val="20"/>
        </w:rPr>
        <w:t>.</w:t>
      </w:r>
      <w:r w:rsidR="00BD3E34">
        <w:rPr>
          <w:color w:val="000000"/>
          <w:sz w:val="20"/>
          <w:szCs w:val="20"/>
        </w:rPr>
        <w:t>7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296263">
        <w:rPr>
          <w:b/>
          <w:sz w:val="20"/>
          <w:szCs w:val="20"/>
        </w:rPr>
        <w:t>0</w:t>
      </w:r>
      <w:r w:rsidR="009554D5">
        <w:rPr>
          <w:b/>
          <w:sz w:val="20"/>
          <w:szCs w:val="20"/>
        </w:rPr>
        <w:t>4</w:t>
      </w:r>
      <w:r w:rsidRPr="00557CA7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087C54">
        <w:rPr>
          <w:b/>
          <w:sz w:val="20"/>
          <w:szCs w:val="20"/>
        </w:rPr>
        <w:t>7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087C54" w:rsidRPr="00087C54" w:rsidRDefault="00087C54" w:rsidP="00087C54">
      <w:pPr>
        <w:spacing w:line="360" w:lineRule="auto"/>
        <w:rPr>
          <w:color w:val="auto"/>
          <w:sz w:val="20"/>
        </w:rPr>
      </w:pPr>
      <w:r w:rsidRPr="00087C54">
        <w:rPr>
          <w:sz w:val="20"/>
        </w:rPr>
        <w:t>Dotyczy: informacji z otwarcia ofert w dniu 0</w:t>
      </w:r>
      <w:r w:rsidR="009554D5">
        <w:rPr>
          <w:sz w:val="20"/>
        </w:rPr>
        <w:t>4</w:t>
      </w:r>
      <w:bookmarkStart w:id="0" w:name="_GoBack"/>
      <w:bookmarkEnd w:id="0"/>
      <w:r w:rsidRPr="00087C54">
        <w:rPr>
          <w:sz w:val="20"/>
        </w:rPr>
        <w:t>.07.2023 r. o godz. 10:30. w postępowaniu w trybie regulaminu zamówień publicznych pn. „Dostawa fabrycznie nowych opon</w:t>
      </w:r>
      <w:r>
        <w:rPr>
          <w:sz w:val="20"/>
        </w:rPr>
        <w:t>”</w:t>
      </w:r>
    </w:p>
    <w:p w:rsidR="00E41352" w:rsidRDefault="005731C6" w:rsidP="00087C54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512"/>
        <w:gridCol w:w="4031"/>
        <w:gridCol w:w="1551"/>
        <w:gridCol w:w="1590"/>
        <w:gridCol w:w="1559"/>
      </w:tblGrid>
      <w:tr w:rsidR="0099200F" w:rsidRPr="00557CA7" w:rsidTr="00087C54">
        <w:trPr>
          <w:trHeight w:val="803"/>
          <w:tblHeader/>
        </w:trPr>
        <w:tc>
          <w:tcPr>
            <w:tcW w:w="512" w:type="dxa"/>
          </w:tcPr>
          <w:p w:rsidR="0099200F" w:rsidRPr="00557CA7" w:rsidRDefault="0044338E" w:rsidP="0001407B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C416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31" w:type="dxa"/>
            <w:shd w:val="clear" w:color="auto" w:fill="ACB9CA" w:themeFill="text2" w:themeFillTint="66"/>
          </w:tcPr>
          <w:p w:rsidR="0099200F" w:rsidRPr="0074690A" w:rsidRDefault="0099200F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551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99200F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557CA7" w:rsidRPr="00557CA7" w:rsidTr="00087C54">
        <w:trPr>
          <w:trHeight w:val="4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9200F" w:rsidRPr="0074690A" w:rsidRDefault="00087C54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200F" w:rsidRPr="00746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8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TRUCK SY</w:t>
            </w:r>
            <w:r w:rsidR="00ED2FC6">
              <w:rPr>
                <w:b/>
                <w:sz w:val="16"/>
                <w:szCs w:val="16"/>
              </w:rPr>
              <w:t xml:space="preserve">STEM STOLORZ Jerzy Stolorz, Al. </w:t>
            </w:r>
            <w:r>
              <w:rPr>
                <w:b/>
                <w:sz w:val="16"/>
                <w:szCs w:val="16"/>
              </w:rPr>
              <w:t>Spacerowa 2b, 41-408 Mysłowice- Wesoła,</w:t>
            </w:r>
          </w:p>
          <w:p w:rsidR="0099200F" w:rsidRPr="00042799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NIP: 2220035065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Pr="00CD5C1E" w:rsidRDefault="00087C54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2080,00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D" w:rsidRDefault="00E45D8D" w:rsidP="00E4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="0099200F" w:rsidRPr="0099200F">
        <w:rPr>
          <w:b/>
          <w:sz w:val="16"/>
          <w:szCs w:val="16"/>
        </w:rPr>
        <w:t xml:space="preserve"> </w:t>
      </w:r>
      <w:r w:rsidR="00A10718" w:rsidRPr="00A10718">
        <w:rPr>
          <w:b/>
          <w:sz w:val="20"/>
          <w:szCs w:val="16"/>
        </w:rPr>
        <w:t>TRUCK SYSTEM STOLORZ Jerzy Stolorz</w:t>
      </w:r>
      <w:r w:rsidR="00A10718">
        <w:rPr>
          <w:b/>
          <w:sz w:val="20"/>
          <w:szCs w:val="16"/>
        </w:rPr>
        <w:t xml:space="preserve">, </w:t>
      </w:r>
      <w:r w:rsidR="00ED2FC6">
        <w:rPr>
          <w:b/>
          <w:sz w:val="20"/>
          <w:szCs w:val="16"/>
        </w:rPr>
        <w:t>Al.</w:t>
      </w:r>
      <w:r w:rsidR="00A10718" w:rsidRPr="00A10718">
        <w:rPr>
          <w:b/>
          <w:sz w:val="20"/>
          <w:szCs w:val="16"/>
        </w:rPr>
        <w:t xml:space="preserve"> Spacerowa 2b, 41-408 Mysłowice- Wesoła,</w:t>
      </w:r>
      <w:r w:rsidR="00167931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7416A7" w:rsidRPr="00087C54" w:rsidRDefault="007416A7" w:rsidP="007416A7">
      <w:pPr>
        <w:spacing w:before="240"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087C54">
        <w:rPr>
          <w:b/>
          <w:i/>
          <w:color w:val="5B9BD5" w:themeColor="accent1"/>
          <w:sz w:val="20"/>
          <w:szCs w:val="20"/>
        </w:rPr>
        <w:t>Dyrektor WORD Katowice</w:t>
      </w:r>
    </w:p>
    <w:p w:rsidR="007416A7" w:rsidRPr="00087C54" w:rsidRDefault="007416A7" w:rsidP="007416A7">
      <w:pPr>
        <w:spacing w:before="240" w:line="360" w:lineRule="auto"/>
        <w:jc w:val="right"/>
        <w:rPr>
          <w:b/>
          <w:i/>
          <w:color w:val="5B9BD5" w:themeColor="accent1"/>
          <w:sz w:val="20"/>
          <w:szCs w:val="20"/>
        </w:rPr>
      </w:pPr>
      <w:r w:rsidRPr="00087C54">
        <w:rPr>
          <w:b/>
          <w:i/>
          <w:color w:val="5B9BD5" w:themeColor="accent1"/>
          <w:sz w:val="20"/>
          <w:szCs w:val="20"/>
        </w:rPr>
        <w:t>Krzysztof Przybylski</w:t>
      </w:r>
    </w:p>
    <w:sectPr w:rsidR="007416A7" w:rsidRPr="00087C5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87C54"/>
    <w:rsid w:val="000E6FFD"/>
    <w:rsid w:val="0014775C"/>
    <w:rsid w:val="00167931"/>
    <w:rsid w:val="00195FDF"/>
    <w:rsid w:val="001C38A0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554D5"/>
    <w:rsid w:val="00966F4E"/>
    <w:rsid w:val="0099200F"/>
    <w:rsid w:val="00997146"/>
    <w:rsid w:val="009D1007"/>
    <w:rsid w:val="00A10718"/>
    <w:rsid w:val="00A1467A"/>
    <w:rsid w:val="00A541D6"/>
    <w:rsid w:val="00B611DA"/>
    <w:rsid w:val="00BD3E34"/>
    <w:rsid w:val="00C270F0"/>
    <w:rsid w:val="00C416E5"/>
    <w:rsid w:val="00CA567B"/>
    <w:rsid w:val="00CA7203"/>
    <w:rsid w:val="00CD5C1E"/>
    <w:rsid w:val="00D36983"/>
    <w:rsid w:val="00DB116A"/>
    <w:rsid w:val="00DB3416"/>
    <w:rsid w:val="00E41352"/>
    <w:rsid w:val="00E45D8D"/>
    <w:rsid w:val="00ED2FC6"/>
    <w:rsid w:val="00ED70B0"/>
    <w:rsid w:val="00EE314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7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7C5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4CFA-2C9C-429D-B455-5431615F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28</cp:revision>
  <cp:lastPrinted>2023-03-08T10:57:00Z</cp:lastPrinted>
  <dcterms:created xsi:type="dcterms:W3CDTF">2022-04-03T16:07:00Z</dcterms:created>
  <dcterms:modified xsi:type="dcterms:W3CDTF">2023-07-04T11:14:00Z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