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452" w:rsidRDefault="004833FD">
      <w:pPr>
        <w:rPr>
          <w:b/>
          <w:sz w:val="20"/>
          <w:szCs w:val="20"/>
        </w:rPr>
      </w:pPr>
      <w:bookmarkStart w:id="0" w:name="_GoBack"/>
      <w:bookmarkEnd w:id="0"/>
      <w:r>
        <w:rPr>
          <w:noProof/>
        </w:rPr>
        <w:drawing>
          <wp:inline distT="0" distB="7620" distL="0" distR="0">
            <wp:extent cx="5760720" cy="10788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6"/>
                    <a:srcRect l="-25" t="-150" r="-25" b="-150"/>
                    <a:stretch>
                      <a:fillRect/>
                    </a:stretch>
                  </pic:blipFill>
                  <pic:spPr bwMode="auto">
                    <a:xfrm>
                      <a:off x="0" y="0"/>
                      <a:ext cx="5760720" cy="1078865"/>
                    </a:xfrm>
                    <a:prstGeom prst="rect">
                      <a:avLst/>
                    </a:prstGeom>
                  </pic:spPr>
                </pic:pic>
              </a:graphicData>
            </a:graphic>
          </wp:inline>
        </w:drawing>
      </w:r>
    </w:p>
    <w:p w:rsidR="00FC1452" w:rsidRDefault="004833FD">
      <w:pPr>
        <w:spacing w:after="240"/>
        <w:jc w:val="right"/>
        <w:rPr>
          <w:sz w:val="20"/>
          <w:szCs w:val="20"/>
        </w:rPr>
      </w:pPr>
      <w:r>
        <w:rPr>
          <w:sz w:val="20"/>
          <w:szCs w:val="20"/>
        </w:rPr>
        <w:t xml:space="preserve">Katowice, dnia 6.08.2021 r. </w:t>
      </w:r>
    </w:p>
    <w:p w:rsidR="00FC1452" w:rsidRDefault="004833FD">
      <w:pPr>
        <w:spacing w:after="360"/>
        <w:rPr>
          <w:sz w:val="20"/>
          <w:szCs w:val="20"/>
        </w:rPr>
      </w:pPr>
      <w:r>
        <w:rPr>
          <w:sz w:val="20"/>
          <w:szCs w:val="20"/>
        </w:rPr>
        <w:t>AT-ZP.262.5.2021</w:t>
      </w:r>
    </w:p>
    <w:p w:rsidR="00FC1452" w:rsidRDefault="004833FD">
      <w:pPr>
        <w:spacing w:after="360"/>
        <w:jc w:val="center"/>
        <w:rPr>
          <w:b/>
          <w:sz w:val="20"/>
          <w:szCs w:val="20"/>
        </w:rPr>
      </w:pPr>
      <w:r>
        <w:rPr>
          <w:b/>
          <w:sz w:val="20"/>
          <w:szCs w:val="20"/>
        </w:rPr>
        <w:t xml:space="preserve">Informacja o wyborze najkorzystniejszej oferty w Części I, III, VI oraz unieważnieniu postępowania w części II i IV na „Dostawę sprzętu komputerowego na potrzeby Wojewódzkiego Ośrodka Ruchu Drogowego w Katowicach. </w:t>
      </w:r>
    </w:p>
    <w:p w:rsidR="00FC1452" w:rsidRDefault="004833FD">
      <w:pPr>
        <w:spacing w:after="240"/>
        <w:jc w:val="both"/>
        <w:rPr>
          <w:sz w:val="20"/>
          <w:szCs w:val="20"/>
        </w:rPr>
      </w:pPr>
      <w:r>
        <w:rPr>
          <w:i/>
          <w:iCs/>
          <w:sz w:val="20"/>
          <w:szCs w:val="20"/>
          <w:u w:val="single"/>
        </w:rPr>
        <w:t>Dotyczy:</w:t>
      </w:r>
      <w:r>
        <w:rPr>
          <w:sz w:val="20"/>
          <w:szCs w:val="20"/>
        </w:rPr>
        <w:t xml:space="preserve"> postępowania prowadzonego w trybie podstawowym zgodnie z art. 275 ust.1 </w:t>
      </w:r>
      <w:proofErr w:type="spellStart"/>
      <w:r>
        <w:rPr>
          <w:sz w:val="20"/>
          <w:szCs w:val="20"/>
        </w:rPr>
        <w:t>Pzp</w:t>
      </w:r>
      <w:proofErr w:type="spellEnd"/>
      <w:r>
        <w:rPr>
          <w:sz w:val="20"/>
          <w:szCs w:val="20"/>
        </w:rPr>
        <w:t xml:space="preserve"> Zamawiający informuje o wyborze najkorzystniejszych ofert w następujących częściach:</w:t>
      </w:r>
    </w:p>
    <w:p w:rsidR="00FC1452" w:rsidRDefault="004833FD">
      <w:pPr>
        <w:pStyle w:val="Akapitzlist"/>
        <w:numPr>
          <w:ilvl w:val="0"/>
          <w:numId w:val="1"/>
        </w:numPr>
        <w:spacing w:before="360" w:after="240"/>
        <w:ind w:left="714" w:hanging="357"/>
        <w:jc w:val="both"/>
        <w:rPr>
          <w:sz w:val="20"/>
          <w:szCs w:val="20"/>
        </w:rPr>
      </w:pPr>
      <w:r>
        <w:rPr>
          <w:sz w:val="20"/>
          <w:szCs w:val="20"/>
        </w:rPr>
        <w:t>W części I przedmiotowego zamówienia najkorzystniejszą ofertę złożyła firma: GRUPA E Sp. z o.o. 43- 100 Tychy, ul. Piwna 32, uzyskując następującą punktację w poszczególnych kryteriach oceny ofert, a także łączną punktację:</w:t>
      </w:r>
    </w:p>
    <w:tbl>
      <w:tblPr>
        <w:tblStyle w:val="Tabela-Siatka"/>
        <w:tblW w:w="9061" w:type="dxa"/>
        <w:tblLook w:val="04A0" w:firstRow="1" w:lastRow="0" w:firstColumn="1" w:lastColumn="0" w:noHBand="0" w:noVBand="1"/>
      </w:tblPr>
      <w:tblGrid>
        <w:gridCol w:w="562"/>
        <w:gridCol w:w="2459"/>
        <w:gridCol w:w="1510"/>
        <w:gridCol w:w="1510"/>
        <w:gridCol w:w="1510"/>
        <w:gridCol w:w="1510"/>
      </w:tblGrid>
      <w:tr w:rsidR="00FC1452">
        <w:tc>
          <w:tcPr>
            <w:tcW w:w="561" w:type="dxa"/>
            <w:shd w:val="clear" w:color="auto" w:fill="auto"/>
            <w:tcMar>
              <w:left w:w="108" w:type="dxa"/>
            </w:tcMar>
            <w:vAlign w:val="center"/>
          </w:tcPr>
          <w:p w:rsidR="00FC1452" w:rsidRDefault="004833FD">
            <w:pPr>
              <w:jc w:val="center"/>
              <w:rPr>
                <w:sz w:val="18"/>
                <w:szCs w:val="18"/>
              </w:rPr>
            </w:pPr>
            <w:proofErr w:type="spellStart"/>
            <w:r>
              <w:rPr>
                <w:sz w:val="18"/>
                <w:szCs w:val="18"/>
              </w:rPr>
              <w:t>Lp</w:t>
            </w:r>
            <w:proofErr w:type="spellEnd"/>
          </w:p>
        </w:tc>
        <w:tc>
          <w:tcPr>
            <w:tcW w:w="2459" w:type="dxa"/>
            <w:shd w:val="clear" w:color="auto" w:fill="auto"/>
            <w:tcMar>
              <w:left w:w="108" w:type="dxa"/>
            </w:tcMar>
            <w:vAlign w:val="center"/>
          </w:tcPr>
          <w:p w:rsidR="00FC1452" w:rsidRDefault="004833FD">
            <w:pPr>
              <w:jc w:val="center"/>
              <w:rPr>
                <w:sz w:val="18"/>
                <w:szCs w:val="18"/>
              </w:rPr>
            </w:pPr>
            <w:r>
              <w:rPr>
                <w:sz w:val="18"/>
                <w:szCs w:val="18"/>
              </w:rPr>
              <w:t>Nazwa i adres Wykonawcy</w:t>
            </w:r>
          </w:p>
        </w:tc>
        <w:tc>
          <w:tcPr>
            <w:tcW w:w="1510" w:type="dxa"/>
            <w:shd w:val="clear" w:color="auto" w:fill="auto"/>
            <w:tcMar>
              <w:left w:w="108" w:type="dxa"/>
            </w:tcMar>
            <w:vAlign w:val="center"/>
          </w:tcPr>
          <w:p w:rsidR="00FC1452" w:rsidRDefault="004833FD">
            <w:pPr>
              <w:jc w:val="center"/>
              <w:rPr>
                <w:sz w:val="18"/>
                <w:szCs w:val="18"/>
              </w:rPr>
            </w:pPr>
            <w:r>
              <w:rPr>
                <w:b/>
                <w:color w:val="0D0D0D" w:themeColor="text1" w:themeTint="F2"/>
                <w:sz w:val="18"/>
                <w:szCs w:val="18"/>
              </w:rPr>
              <w:t>Cena</w:t>
            </w:r>
          </w:p>
        </w:tc>
        <w:tc>
          <w:tcPr>
            <w:tcW w:w="1510" w:type="dxa"/>
            <w:shd w:val="clear" w:color="auto" w:fill="auto"/>
            <w:tcMar>
              <w:left w:w="108" w:type="dxa"/>
            </w:tcMar>
            <w:vAlign w:val="center"/>
          </w:tcPr>
          <w:p w:rsidR="00FC1452" w:rsidRDefault="004833FD">
            <w:pPr>
              <w:jc w:val="center"/>
              <w:rPr>
                <w:sz w:val="18"/>
                <w:szCs w:val="18"/>
              </w:rPr>
            </w:pPr>
            <w:r>
              <w:rPr>
                <w:b/>
                <w:sz w:val="18"/>
                <w:szCs w:val="18"/>
              </w:rPr>
              <w:t>Przedłużenie gwarancji</w:t>
            </w:r>
          </w:p>
        </w:tc>
        <w:tc>
          <w:tcPr>
            <w:tcW w:w="1510" w:type="dxa"/>
            <w:shd w:val="clear" w:color="auto" w:fill="auto"/>
            <w:tcMar>
              <w:left w:w="108" w:type="dxa"/>
            </w:tcMar>
            <w:vAlign w:val="center"/>
          </w:tcPr>
          <w:p w:rsidR="00FC1452" w:rsidRDefault="004833FD">
            <w:pPr>
              <w:jc w:val="center"/>
              <w:rPr>
                <w:sz w:val="18"/>
                <w:szCs w:val="18"/>
              </w:rPr>
            </w:pPr>
            <w:r>
              <w:rPr>
                <w:b/>
                <w:sz w:val="18"/>
                <w:szCs w:val="18"/>
              </w:rPr>
              <w:t>Czas dostawy</w:t>
            </w:r>
          </w:p>
        </w:tc>
        <w:tc>
          <w:tcPr>
            <w:tcW w:w="1510" w:type="dxa"/>
            <w:shd w:val="clear" w:color="auto" w:fill="auto"/>
            <w:tcMar>
              <w:left w:w="108" w:type="dxa"/>
            </w:tcMar>
            <w:vAlign w:val="center"/>
          </w:tcPr>
          <w:p w:rsidR="00FC1452" w:rsidRDefault="004833FD">
            <w:pPr>
              <w:jc w:val="center"/>
              <w:rPr>
                <w:sz w:val="18"/>
                <w:szCs w:val="18"/>
              </w:rPr>
            </w:pPr>
            <w:r>
              <w:rPr>
                <w:sz w:val="18"/>
                <w:szCs w:val="18"/>
              </w:rPr>
              <w:t>Łączna punktacja</w:t>
            </w:r>
          </w:p>
        </w:tc>
      </w:tr>
      <w:tr w:rsidR="00FC1452">
        <w:trPr>
          <w:trHeight w:val="646"/>
        </w:trPr>
        <w:tc>
          <w:tcPr>
            <w:tcW w:w="561" w:type="dxa"/>
            <w:shd w:val="clear" w:color="auto" w:fill="auto"/>
            <w:tcMar>
              <w:left w:w="108" w:type="dxa"/>
            </w:tcMar>
            <w:vAlign w:val="center"/>
          </w:tcPr>
          <w:p w:rsidR="00FC1452" w:rsidRDefault="004833FD">
            <w:pPr>
              <w:jc w:val="center"/>
              <w:rPr>
                <w:sz w:val="18"/>
                <w:szCs w:val="18"/>
              </w:rPr>
            </w:pPr>
            <w:r>
              <w:rPr>
                <w:sz w:val="18"/>
                <w:szCs w:val="18"/>
              </w:rPr>
              <w:t>1</w:t>
            </w:r>
          </w:p>
        </w:tc>
        <w:tc>
          <w:tcPr>
            <w:tcW w:w="2459" w:type="dxa"/>
            <w:shd w:val="clear" w:color="auto" w:fill="auto"/>
            <w:tcMar>
              <w:left w:w="108" w:type="dxa"/>
            </w:tcMar>
            <w:vAlign w:val="center"/>
          </w:tcPr>
          <w:p w:rsidR="00FC1452" w:rsidRDefault="004833FD">
            <w:pPr>
              <w:jc w:val="center"/>
              <w:rPr>
                <w:sz w:val="18"/>
                <w:szCs w:val="18"/>
              </w:rPr>
            </w:pPr>
            <w:r>
              <w:rPr>
                <w:sz w:val="18"/>
                <w:szCs w:val="18"/>
              </w:rPr>
              <w:t>GRUPA E</w:t>
            </w:r>
          </w:p>
          <w:p w:rsidR="00FC1452" w:rsidRDefault="004833FD">
            <w:pPr>
              <w:jc w:val="center"/>
              <w:rPr>
                <w:sz w:val="18"/>
                <w:szCs w:val="18"/>
              </w:rPr>
            </w:pPr>
            <w:r>
              <w:rPr>
                <w:sz w:val="18"/>
                <w:szCs w:val="18"/>
              </w:rPr>
              <w:t>Sp. z o.o.</w:t>
            </w:r>
          </w:p>
          <w:p w:rsidR="00FC1452" w:rsidRDefault="004833FD">
            <w:pPr>
              <w:spacing w:after="240"/>
              <w:jc w:val="center"/>
              <w:rPr>
                <w:sz w:val="18"/>
                <w:szCs w:val="18"/>
              </w:rPr>
            </w:pPr>
            <w:r>
              <w:rPr>
                <w:sz w:val="18"/>
                <w:szCs w:val="18"/>
              </w:rPr>
              <w:t>43-100 Tychy, ul. Piwna 32</w:t>
            </w:r>
          </w:p>
        </w:tc>
        <w:tc>
          <w:tcPr>
            <w:tcW w:w="1510" w:type="dxa"/>
            <w:shd w:val="clear" w:color="auto" w:fill="auto"/>
            <w:tcMar>
              <w:left w:w="108" w:type="dxa"/>
            </w:tcMar>
            <w:vAlign w:val="center"/>
          </w:tcPr>
          <w:p w:rsidR="00FC1452" w:rsidRDefault="004833FD">
            <w:pPr>
              <w:jc w:val="center"/>
              <w:rPr>
                <w:sz w:val="18"/>
                <w:szCs w:val="18"/>
              </w:rPr>
            </w:pPr>
            <w:r>
              <w:rPr>
                <w:sz w:val="18"/>
                <w:szCs w:val="18"/>
              </w:rPr>
              <w:t>60,00</w:t>
            </w:r>
          </w:p>
        </w:tc>
        <w:tc>
          <w:tcPr>
            <w:tcW w:w="1510" w:type="dxa"/>
            <w:shd w:val="clear" w:color="auto" w:fill="auto"/>
            <w:tcMar>
              <w:left w:w="108" w:type="dxa"/>
            </w:tcMar>
            <w:vAlign w:val="center"/>
          </w:tcPr>
          <w:p w:rsidR="00FC1452" w:rsidRDefault="004833FD">
            <w:pPr>
              <w:jc w:val="center"/>
              <w:rPr>
                <w:sz w:val="18"/>
                <w:szCs w:val="18"/>
              </w:rPr>
            </w:pPr>
            <w:r>
              <w:rPr>
                <w:sz w:val="18"/>
                <w:szCs w:val="18"/>
              </w:rPr>
              <w:t>25,00</w:t>
            </w:r>
          </w:p>
        </w:tc>
        <w:tc>
          <w:tcPr>
            <w:tcW w:w="1510" w:type="dxa"/>
            <w:shd w:val="clear" w:color="auto" w:fill="auto"/>
            <w:tcMar>
              <w:left w:w="108" w:type="dxa"/>
            </w:tcMar>
            <w:vAlign w:val="center"/>
          </w:tcPr>
          <w:p w:rsidR="00FC1452" w:rsidRDefault="004833FD">
            <w:pPr>
              <w:jc w:val="center"/>
              <w:rPr>
                <w:sz w:val="18"/>
                <w:szCs w:val="18"/>
              </w:rPr>
            </w:pPr>
            <w:r>
              <w:rPr>
                <w:sz w:val="18"/>
                <w:szCs w:val="18"/>
              </w:rPr>
              <w:t>15,00</w:t>
            </w:r>
          </w:p>
        </w:tc>
        <w:tc>
          <w:tcPr>
            <w:tcW w:w="1510" w:type="dxa"/>
            <w:shd w:val="clear" w:color="auto" w:fill="auto"/>
            <w:tcMar>
              <w:left w:w="108" w:type="dxa"/>
            </w:tcMar>
            <w:vAlign w:val="center"/>
          </w:tcPr>
          <w:p w:rsidR="00FC1452" w:rsidRDefault="004833FD">
            <w:pPr>
              <w:jc w:val="center"/>
              <w:rPr>
                <w:sz w:val="18"/>
                <w:szCs w:val="18"/>
              </w:rPr>
            </w:pPr>
            <w:r>
              <w:rPr>
                <w:sz w:val="18"/>
                <w:szCs w:val="18"/>
              </w:rPr>
              <w:t>100</w:t>
            </w:r>
          </w:p>
        </w:tc>
      </w:tr>
      <w:tr w:rsidR="00FC1452">
        <w:tc>
          <w:tcPr>
            <w:tcW w:w="561" w:type="dxa"/>
            <w:shd w:val="clear" w:color="auto" w:fill="auto"/>
            <w:tcMar>
              <w:left w:w="108" w:type="dxa"/>
            </w:tcMar>
            <w:vAlign w:val="center"/>
          </w:tcPr>
          <w:p w:rsidR="00FC1452" w:rsidRDefault="004833FD">
            <w:pPr>
              <w:jc w:val="center"/>
              <w:rPr>
                <w:sz w:val="18"/>
                <w:szCs w:val="18"/>
              </w:rPr>
            </w:pPr>
            <w:r>
              <w:rPr>
                <w:sz w:val="18"/>
                <w:szCs w:val="18"/>
              </w:rPr>
              <w:t>2</w:t>
            </w:r>
          </w:p>
        </w:tc>
        <w:tc>
          <w:tcPr>
            <w:tcW w:w="2459" w:type="dxa"/>
            <w:shd w:val="clear" w:color="auto" w:fill="auto"/>
            <w:tcMar>
              <w:left w:w="108" w:type="dxa"/>
            </w:tcMar>
            <w:vAlign w:val="center"/>
          </w:tcPr>
          <w:p w:rsidR="00FC1452" w:rsidRDefault="004833FD">
            <w:pPr>
              <w:jc w:val="center"/>
              <w:rPr>
                <w:sz w:val="18"/>
                <w:szCs w:val="18"/>
              </w:rPr>
            </w:pPr>
            <w:r>
              <w:rPr>
                <w:sz w:val="18"/>
                <w:szCs w:val="18"/>
              </w:rPr>
              <w:t>NBIT Jarosław Jenczmionka Sp. z o.o.,44-100 Gliwice, ul. Plebańska 3/8</w:t>
            </w:r>
          </w:p>
        </w:tc>
        <w:tc>
          <w:tcPr>
            <w:tcW w:w="1510" w:type="dxa"/>
            <w:shd w:val="clear" w:color="auto" w:fill="auto"/>
            <w:tcMar>
              <w:left w:w="108" w:type="dxa"/>
            </w:tcMar>
            <w:vAlign w:val="center"/>
          </w:tcPr>
          <w:p w:rsidR="00FC1452" w:rsidRDefault="004833FD">
            <w:pPr>
              <w:jc w:val="center"/>
              <w:rPr>
                <w:sz w:val="18"/>
                <w:szCs w:val="18"/>
              </w:rPr>
            </w:pPr>
            <w:r>
              <w:rPr>
                <w:sz w:val="18"/>
                <w:szCs w:val="18"/>
              </w:rPr>
              <w:t>58,18</w:t>
            </w:r>
          </w:p>
        </w:tc>
        <w:tc>
          <w:tcPr>
            <w:tcW w:w="1510" w:type="dxa"/>
            <w:shd w:val="clear" w:color="auto" w:fill="auto"/>
            <w:tcMar>
              <w:left w:w="108" w:type="dxa"/>
            </w:tcMar>
            <w:vAlign w:val="center"/>
          </w:tcPr>
          <w:p w:rsidR="00FC1452" w:rsidRDefault="004833FD">
            <w:pPr>
              <w:jc w:val="center"/>
              <w:rPr>
                <w:sz w:val="18"/>
                <w:szCs w:val="18"/>
              </w:rPr>
            </w:pPr>
            <w:r>
              <w:rPr>
                <w:sz w:val="18"/>
                <w:szCs w:val="18"/>
              </w:rPr>
              <w:t>25,00</w:t>
            </w:r>
          </w:p>
        </w:tc>
        <w:tc>
          <w:tcPr>
            <w:tcW w:w="1510" w:type="dxa"/>
            <w:shd w:val="clear" w:color="auto" w:fill="auto"/>
            <w:tcMar>
              <w:left w:w="108" w:type="dxa"/>
            </w:tcMar>
            <w:vAlign w:val="center"/>
          </w:tcPr>
          <w:p w:rsidR="00FC1452" w:rsidRDefault="004833FD">
            <w:pPr>
              <w:jc w:val="center"/>
              <w:rPr>
                <w:sz w:val="18"/>
                <w:szCs w:val="18"/>
              </w:rPr>
            </w:pPr>
            <w:r>
              <w:rPr>
                <w:sz w:val="18"/>
                <w:szCs w:val="18"/>
              </w:rPr>
              <w:t>15,00</w:t>
            </w:r>
          </w:p>
        </w:tc>
        <w:tc>
          <w:tcPr>
            <w:tcW w:w="1510" w:type="dxa"/>
            <w:shd w:val="clear" w:color="auto" w:fill="auto"/>
            <w:tcMar>
              <w:left w:w="108" w:type="dxa"/>
            </w:tcMar>
            <w:vAlign w:val="center"/>
          </w:tcPr>
          <w:p w:rsidR="00FC1452" w:rsidRDefault="004833FD">
            <w:pPr>
              <w:jc w:val="center"/>
              <w:rPr>
                <w:sz w:val="18"/>
                <w:szCs w:val="18"/>
              </w:rPr>
            </w:pPr>
            <w:r>
              <w:rPr>
                <w:sz w:val="18"/>
                <w:szCs w:val="18"/>
              </w:rPr>
              <w:t>98,18</w:t>
            </w:r>
          </w:p>
        </w:tc>
      </w:tr>
    </w:tbl>
    <w:p w:rsidR="00FC1452" w:rsidRDefault="004833FD">
      <w:pPr>
        <w:pStyle w:val="Akapitzlist"/>
        <w:numPr>
          <w:ilvl w:val="0"/>
          <w:numId w:val="1"/>
        </w:numPr>
        <w:spacing w:before="240" w:after="240"/>
        <w:jc w:val="both"/>
        <w:rPr>
          <w:sz w:val="20"/>
          <w:szCs w:val="20"/>
        </w:rPr>
      </w:pPr>
      <w:r>
        <w:rPr>
          <w:sz w:val="20"/>
          <w:szCs w:val="20"/>
        </w:rPr>
        <w:t>W części III przedmiotowego zamówienia najkorzystniejszą ofertę złożyła firma: ALLTECH S.J Zdzisław Pająk, Artur Pająk 09- 407 Płock, ul. Spółdzielcza 33, uzyskując następującą punktację w poszczególnych kryteriach oceny ofert, a także łączną punktację:</w:t>
      </w:r>
    </w:p>
    <w:tbl>
      <w:tblPr>
        <w:tblStyle w:val="Tabela-Siatka"/>
        <w:tblW w:w="9061" w:type="dxa"/>
        <w:tblLook w:val="04A0" w:firstRow="1" w:lastRow="0" w:firstColumn="1" w:lastColumn="0" w:noHBand="0" w:noVBand="1"/>
      </w:tblPr>
      <w:tblGrid>
        <w:gridCol w:w="562"/>
        <w:gridCol w:w="2411"/>
        <w:gridCol w:w="1558"/>
        <w:gridCol w:w="1510"/>
        <w:gridCol w:w="1510"/>
        <w:gridCol w:w="1510"/>
      </w:tblGrid>
      <w:tr w:rsidR="00FC1452">
        <w:tc>
          <w:tcPr>
            <w:tcW w:w="561" w:type="dxa"/>
            <w:shd w:val="clear" w:color="auto" w:fill="auto"/>
            <w:tcMar>
              <w:left w:w="108" w:type="dxa"/>
            </w:tcMar>
            <w:vAlign w:val="center"/>
          </w:tcPr>
          <w:p w:rsidR="00FC1452" w:rsidRDefault="004833FD">
            <w:pPr>
              <w:jc w:val="center"/>
              <w:rPr>
                <w:sz w:val="18"/>
                <w:szCs w:val="18"/>
              </w:rPr>
            </w:pPr>
            <w:proofErr w:type="spellStart"/>
            <w:r>
              <w:rPr>
                <w:sz w:val="18"/>
                <w:szCs w:val="18"/>
              </w:rPr>
              <w:t>Lp</w:t>
            </w:r>
            <w:proofErr w:type="spellEnd"/>
          </w:p>
        </w:tc>
        <w:tc>
          <w:tcPr>
            <w:tcW w:w="2411" w:type="dxa"/>
            <w:shd w:val="clear" w:color="auto" w:fill="auto"/>
            <w:tcMar>
              <w:left w:w="108" w:type="dxa"/>
            </w:tcMar>
            <w:vAlign w:val="center"/>
          </w:tcPr>
          <w:p w:rsidR="00FC1452" w:rsidRDefault="004833FD">
            <w:pPr>
              <w:jc w:val="center"/>
              <w:rPr>
                <w:sz w:val="18"/>
                <w:szCs w:val="18"/>
              </w:rPr>
            </w:pPr>
            <w:r>
              <w:rPr>
                <w:sz w:val="18"/>
                <w:szCs w:val="18"/>
              </w:rPr>
              <w:t>Nazwa i adres Wykonawcy</w:t>
            </w:r>
          </w:p>
        </w:tc>
        <w:tc>
          <w:tcPr>
            <w:tcW w:w="1558" w:type="dxa"/>
            <w:shd w:val="clear" w:color="auto" w:fill="auto"/>
            <w:tcMar>
              <w:left w:w="108" w:type="dxa"/>
            </w:tcMar>
            <w:vAlign w:val="center"/>
          </w:tcPr>
          <w:p w:rsidR="00FC1452" w:rsidRDefault="004833FD">
            <w:pPr>
              <w:jc w:val="center"/>
              <w:rPr>
                <w:sz w:val="18"/>
                <w:szCs w:val="18"/>
              </w:rPr>
            </w:pPr>
            <w:r>
              <w:rPr>
                <w:b/>
                <w:color w:val="0D0D0D" w:themeColor="text1" w:themeTint="F2"/>
                <w:sz w:val="18"/>
                <w:szCs w:val="18"/>
              </w:rPr>
              <w:t>Cena</w:t>
            </w:r>
          </w:p>
        </w:tc>
        <w:tc>
          <w:tcPr>
            <w:tcW w:w="1510" w:type="dxa"/>
            <w:shd w:val="clear" w:color="auto" w:fill="auto"/>
            <w:tcMar>
              <w:left w:w="108" w:type="dxa"/>
            </w:tcMar>
            <w:vAlign w:val="center"/>
          </w:tcPr>
          <w:p w:rsidR="00FC1452" w:rsidRDefault="004833FD">
            <w:pPr>
              <w:jc w:val="center"/>
              <w:rPr>
                <w:sz w:val="18"/>
                <w:szCs w:val="18"/>
              </w:rPr>
            </w:pPr>
            <w:r>
              <w:rPr>
                <w:b/>
                <w:sz w:val="18"/>
                <w:szCs w:val="18"/>
              </w:rPr>
              <w:t>Przedłużenie gwarancji</w:t>
            </w:r>
          </w:p>
        </w:tc>
        <w:tc>
          <w:tcPr>
            <w:tcW w:w="1510" w:type="dxa"/>
            <w:shd w:val="clear" w:color="auto" w:fill="auto"/>
            <w:tcMar>
              <w:left w:w="108" w:type="dxa"/>
            </w:tcMar>
            <w:vAlign w:val="center"/>
          </w:tcPr>
          <w:p w:rsidR="00FC1452" w:rsidRDefault="004833FD">
            <w:pPr>
              <w:jc w:val="center"/>
              <w:rPr>
                <w:sz w:val="18"/>
                <w:szCs w:val="18"/>
              </w:rPr>
            </w:pPr>
            <w:r>
              <w:rPr>
                <w:b/>
                <w:sz w:val="18"/>
                <w:szCs w:val="18"/>
              </w:rPr>
              <w:t>Czas dostawy</w:t>
            </w:r>
          </w:p>
        </w:tc>
        <w:tc>
          <w:tcPr>
            <w:tcW w:w="1510" w:type="dxa"/>
            <w:shd w:val="clear" w:color="auto" w:fill="auto"/>
            <w:tcMar>
              <w:left w:w="108" w:type="dxa"/>
            </w:tcMar>
            <w:vAlign w:val="center"/>
          </w:tcPr>
          <w:p w:rsidR="00FC1452" w:rsidRDefault="004833FD">
            <w:pPr>
              <w:jc w:val="center"/>
              <w:rPr>
                <w:sz w:val="18"/>
                <w:szCs w:val="18"/>
              </w:rPr>
            </w:pPr>
            <w:r>
              <w:rPr>
                <w:sz w:val="18"/>
                <w:szCs w:val="18"/>
              </w:rPr>
              <w:t>Łączna punktacja</w:t>
            </w:r>
          </w:p>
        </w:tc>
      </w:tr>
      <w:tr w:rsidR="00FC1452">
        <w:tc>
          <w:tcPr>
            <w:tcW w:w="561" w:type="dxa"/>
            <w:shd w:val="clear" w:color="auto" w:fill="auto"/>
            <w:tcMar>
              <w:left w:w="108" w:type="dxa"/>
            </w:tcMar>
            <w:vAlign w:val="center"/>
          </w:tcPr>
          <w:p w:rsidR="00FC1452" w:rsidRDefault="004833FD">
            <w:pPr>
              <w:jc w:val="center"/>
              <w:rPr>
                <w:sz w:val="18"/>
                <w:szCs w:val="18"/>
              </w:rPr>
            </w:pPr>
            <w:r>
              <w:rPr>
                <w:sz w:val="18"/>
                <w:szCs w:val="18"/>
              </w:rPr>
              <w:t>1</w:t>
            </w:r>
          </w:p>
        </w:tc>
        <w:tc>
          <w:tcPr>
            <w:tcW w:w="2411" w:type="dxa"/>
            <w:shd w:val="clear" w:color="auto" w:fill="auto"/>
            <w:tcMar>
              <w:left w:w="108" w:type="dxa"/>
            </w:tcMar>
            <w:vAlign w:val="center"/>
          </w:tcPr>
          <w:p w:rsidR="00FC1452" w:rsidRDefault="004833FD">
            <w:pPr>
              <w:jc w:val="center"/>
              <w:rPr>
                <w:sz w:val="18"/>
                <w:szCs w:val="18"/>
              </w:rPr>
            </w:pPr>
            <w:r>
              <w:rPr>
                <w:sz w:val="18"/>
                <w:szCs w:val="18"/>
              </w:rPr>
              <w:t>ALLTECH S.J</w:t>
            </w:r>
          </w:p>
          <w:p w:rsidR="00FC1452" w:rsidRDefault="004833FD">
            <w:pPr>
              <w:jc w:val="center"/>
              <w:rPr>
                <w:sz w:val="18"/>
                <w:szCs w:val="18"/>
              </w:rPr>
            </w:pPr>
            <w:r>
              <w:rPr>
                <w:sz w:val="18"/>
                <w:szCs w:val="18"/>
              </w:rPr>
              <w:t>Zdzisław Pająk, Artur Pająk</w:t>
            </w:r>
          </w:p>
          <w:p w:rsidR="00FC1452" w:rsidRDefault="004833FD">
            <w:pPr>
              <w:spacing w:after="240"/>
              <w:jc w:val="center"/>
              <w:rPr>
                <w:sz w:val="18"/>
                <w:szCs w:val="18"/>
              </w:rPr>
            </w:pPr>
            <w:r>
              <w:rPr>
                <w:sz w:val="18"/>
                <w:szCs w:val="18"/>
              </w:rPr>
              <w:t>09- 407 Płock, ul . Spółdzielcza 33</w:t>
            </w:r>
          </w:p>
        </w:tc>
        <w:tc>
          <w:tcPr>
            <w:tcW w:w="1558" w:type="dxa"/>
            <w:shd w:val="clear" w:color="auto" w:fill="auto"/>
            <w:tcMar>
              <w:left w:w="108" w:type="dxa"/>
            </w:tcMar>
            <w:vAlign w:val="center"/>
          </w:tcPr>
          <w:p w:rsidR="00FC1452" w:rsidRDefault="004833FD">
            <w:pPr>
              <w:jc w:val="center"/>
              <w:rPr>
                <w:sz w:val="18"/>
                <w:szCs w:val="18"/>
              </w:rPr>
            </w:pPr>
            <w:r>
              <w:rPr>
                <w:sz w:val="18"/>
                <w:szCs w:val="18"/>
              </w:rPr>
              <w:t>60,00</w:t>
            </w:r>
          </w:p>
        </w:tc>
        <w:tc>
          <w:tcPr>
            <w:tcW w:w="1510" w:type="dxa"/>
            <w:shd w:val="clear" w:color="auto" w:fill="auto"/>
            <w:tcMar>
              <w:left w:w="108" w:type="dxa"/>
            </w:tcMar>
            <w:vAlign w:val="center"/>
          </w:tcPr>
          <w:p w:rsidR="00FC1452" w:rsidRDefault="004833FD">
            <w:pPr>
              <w:jc w:val="center"/>
              <w:rPr>
                <w:sz w:val="18"/>
                <w:szCs w:val="18"/>
              </w:rPr>
            </w:pPr>
            <w:r>
              <w:rPr>
                <w:sz w:val="18"/>
                <w:szCs w:val="18"/>
              </w:rPr>
              <w:t>25,00</w:t>
            </w:r>
          </w:p>
        </w:tc>
        <w:tc>
          <w:tcPr>
            <w:tcW w:w="1510" w:type="dxa"/>
            <w:shd w:val="clear" w:color="auto" w:fill="auto"/>
            <w:tcMar>
              <w:left w:w="108" w:type="dxa"/>
            </w:tcMar>
            <w:vAlign w:val="center"/>
          </w:tcPr>
          <w:p w:rsidR="00FC1452" w:rsidRDefault="004833FD">
            <w:pPr>
              <w:jc w:val="center"/>
              <w:rPr>
                <w:sz w:val="18"/>
                <w:szCs w:val="18"/>
              </w:rPr>
            </w:pPr>
            <w:r>
              <w:rPr>
                <w:sz w:val="18"/>
                <w:szCs w:val="18"/>
              </w:rPr>
              <w:t>15,00</w:t>
            </w:r>
          </w:p>
        </w:tc>
        <w:tc>
          <w:tcPr>
            <w:tcW w:w="1510" w:type="dxa"/>
            <w:shd w:val="clear" w:color="auto" w:fill="auto"/>
            <w:tcMar>
              <w:left w:w="108" w:type="dxa"/>
            </w:tcMar>
            <w:vAlign w:val="center"/>
          </w:tcPr>
          <w:p w:rsidR="00FC1452" w:rsidRDefault="004833FD">
            <w:pPr>
              <w:jc w:val="center"/>
              <w:rPr>
                <w:sz w:val="18"/>
                <w:szCs w:val="18"/>
              </w:rPr>
            </w:pPr>
            <w:r>
              <w:rPr>
                <w:sz w:val="18"/>
                <w:szCs w:val="18"/>
              </w:rPr>
              <w:t>100</w:t>
            </w:r>
          </w:p>
        </w:tc>
      </w:tr>
      <w:tr w:rsidR="00FC1452">
        <w:tc>
          <w:tcPr>
            <w:tcW w:w="561" w:type="dxa"/>
            <w:shd w:val="clear" w:color="auto" w:fill="auto"/>
            <w:tcMar>
              <w:left w:w="108" w:type="dxa"/>
            </w:tcMar>
            <w:vAlign w:val="center"/>
          </w:tcPr>
          <w:p w:rsidR="00FC1452" w:rsidRDefault="004833FD">
            <w:pPr>
              <w:jc w:val="center"/>
              <w:rPr>
                <w:sz w:val="18"/>
                <w:szCs w:val="18"/>
              </w:rPr>
            </w:pPr>
            <w:r>
              <w:rPr>
                <w:sz w:val="18"/>
                <w:szCs w:val="18"/>
              </w:rPr>
              <w:t>2</w:t>
            </w:r>
          </w:p>
        </w:tc>
        <w:tc>
          <w:tcPr>
            <w:tcW w:w="2411" w:type="dxa"/>
            <w:shd w:val="clear" w:color="auto" w:fill="auto"/>
            <w:tcMar>
              <w:left w:w="108" w:type="dxa"/>
            </w:tcMar>
            <w:vAlign w:val="center"/>
          </w:tcPr>
          <w:p w:rsidR="00FC1452" w:rsidRDefault="004833FD">
            <w:pPr>
              <w:jc w:val="center"/>
              <w:rPr>
                <w:sz w:val="18"/>
                <w:szCs w:val="18"/>
              </w:rPr>
            </w:pPr>
            <w:r>
              <w:rPr>
                <w:sz w:val="18"/>
                <w:szCs w:val="18"/>
              </w:rPr>
              <w:t xml:space="preserve">Web-Profit Maciej </w:t>
            </w:r>
            <w:proofErr w:type="spellStart"/>
            <w:r>
              <w:rPr>
                <w:sz w:val="18"/>
                <w:szCs w:val="18"/>
              </w:rPr>
              <w:t>Kuźlik</w:t>
            </w:r>
            <w:proofErr w:type="spellEnd"/>
          </w:p>
          <w:p w:rsidR="00FC1452" w:rsidRDefault="004833FD">
            <w:pPr>
              <w:spacing w:after="240"/>
              <w:jc w:val="center"/>
              <w:rPr>
                <w:sz w:val="18"/>
                <w:szCs w:val="18"/>
              </w:rPr>
            </w:pPr>
            <w:r>
              <w:rPr>
                <w:sz w:val="18"/>
                <w:szCs w:val="18"/>
              </w:rPr>
              <w:t>41-940 Piekary Śląskie</w:t>
            </w:r>
            <w:r>
              <w:rPr>
                <w:sz w:val="18"/>
                <w:szCs w:val="18"/>
              </w:rPr>
              <w:br/>
              <w:t>Ul. Spokojna 18</w:t>
            </w:r>
          </w:p>
        </w:tc>
        <w:tc>
          <w:tcPr>
            <w:tcW w:w="6088" w:type="dxa"/>
            <w:gridSpan w:val="4"/>
            <w:shd w:val="clear" w:color="auto" w:fill="auto"/>
            <w:tcMar>
              <w:left w:w="108" w:type="dxa"/>
            </w:tcMar>
            <w:vAlign w:val="center"/>
          </w:tcPr>
          <w:p w:rsidR="00FC1452" w:rsidRDefault="004833FD">
            <w:pPr>
              <w:jc w:val="center"/>
              <w:rPr>
                <w:sz w:val="18"/>
                <w:szCs w:val="18"/>
              </w:rPr>
            </w:pPr>
            <w:r>
              <w:rPr>
                <w:sz w:val="18"/>
                <w:szCs w:val="18"/>
              </w:rPr>
              <w:t xml:space="preserve">Oferta jest niezgodna z wymaganiami określonymi w </w:t>
            </w:r>
            <w:proofErr w:type="spellStart"/>
            <w:r>
              <w:rPr>
                <w:sz w:val="18"/>
                <w:szCs w:val="18"/>
              </w:rPr>
              <w:t>swz</w:t>
            </w:r>
            <w:proofErr w:type="spellEnd"/>
            <w:r>
              <w:rPr>
                <w:sz w:val="18"/>
                <w:szCs w:val="18"/>
              </w:rPr>
              <w:t xml:space="preserve">, tzn. że zaproponowany pendrive </w:t>
            </w:r>
            <w:proofErr w:type="spellStart"/>
            <w:r>
              <w:rPr>
                <w:sz w:val="18"/>
                <w:szCs w:val="18"/>
              </w:rPr>
              <w:t>Adata</w:t>
            </w:r>
            <w:proofErr w:type="spellEnd"/>
            <w:r>
              <w:rPr>
                <w:sz w:val="18"/>
                <w:szCs w:val="18"/>
              </w:rPr>
              <w:t xml:space="preserve"> UV250 64GB wg strony producenta posiada interfejs USB 2.0, a w SWZ wymagany był USB 3.0.</w:t>
            </w:r>
          </w:p>
          <w:p w:rsidR="00FC1452" w:rsidRDefault="004833FD">
            <w:pPr>
              <w:jc w:val="center"/>
              <w:rPr>
                <w:sz w:val="18"/>
                <w:szCs w:val="18"/>
              </w:rPr>
            </w:pPr>
            <w:r>
              <w:rPr>
                <w:sz w:val="18"/>
                <w:szCs w:val="18"/>
              </w:rPr>
              <w:t xml:space="preserve">Oferta odrzucona na podstawie art. 226 ust. 1 pkt 5 ustawy </w:t>
            </w:r>
            <w:proofErr w:type="spellStart"/>
            <w:r>
              <w:rPr>
                <w:sz w:val="18"/>
                <w:szCs w:val="18"/>
              </w:rPr>
              <w:t>Pzp</w:t>
            </w:r>
            <w:proofErr w:type="spellEnd"/>
            <w:r>
              <w:rPr>
                <w:sz w:val="18"/>
                <w:szCs w:val="18"/>
              </w:rPr>
              <w:t>.</w:t>
            </w:r>
          </w:p>
        </w:tc>
      </w:tr>
    </w:tbl>
    <w:p w:rsidR="00FC1452" w:rsidRDefault="004833FD">
      <w:pPr>
        <w:pStyle w:val="Akapitzlist"/>
        <w:numPr>
          <w:ilvl w:val="0"/>
          <w:numId w:val="1"/>
        </w:numPr>
        <w:spacing w:before="240" w:after="240"/>
        <w:jc w:val="both"/>
        <w:rPr>
          <w:sz w:val="20"/>
          <w:szCs w:val="20"/>
        </w:rPr>
      </w:pPr>
      <w:r>
        <w:rPr>
          <w:sz w:val="20"/>
          <w:szCs w:val="20"/>
        </w:rPr>
        <w:t>W części VI przedmiotowego zamówienia najkorzystniejszą ofertę złożyła firma: GRUPA E Sp. z o.o., 43-100 Tychy, ul. Piwna 32, uzyskując następującą punktację w poszczególnych kryteriach oceny ofert, a także łączną punktację:</w:t>
      </w:r>
    </w:p>
    <w:tbl>
      <w:tblPr>
        <w:tblStyle w:val="Tabela-Siatka"/>
        <w:tblW w:w="9062" w:type="dxa"/>
        <w:tblLook w:val="04A0" w:firstRow="1" w:lastRow="0" w:firstColumn="1" w:lastColumn="0" w:noHBand="0" w:noVBand="1"/>
      </w:tblPr>
      <w:tblGrid>
        <w:gridCol w:w="522"/>
        <w:gridCol w:w="3132"/>
        <w:gridCol w:w="1303"/>
        <w:gridCol w:w="1427"/>
        <w:gridCol w:w="1330"/>
        <w:gridCol w:w="1348"/>
      </w:tblGrid>
      <w:tr w:rsidR="00FC1452">
        <w:tc>
          <w:tcPr>
            <w:tcW w:w="521" w:type="dxa"/>
            <w:shd w:val="clear" w:color="auto" w:fill="auto"/>
            <w:tcMar>
              <w:left w:w="108" w:type="dxa"/>
            </w:tcMar>
            <w:vAlign w:val="center"/>
          </w:tcPr>
          <w:p w:rsidR="00FC1452" w:rsidRDefault="004833FD">
            <w:pPr>
              <w:jc w:val="center"/>
              <w:rPr>
                <w:sz w:val="18"/>
                <w:szCs w:val="18"/>
              </w:rPr>
            </w:pPr>
            <w:proofErr w:type="spellStart"/>
            <w:r>
              <w:rPr>
                <w:sz w:val="18"/>
                <w:szCs w:val="18"/>
              </w:rPr>
              <w:t>Lp</w:t>
            </w:r>
            <w:proofErr w:type="spellEnd"/>
          </w:p>
        </w:tc>
        <w:tc>
          <w:tcPr>
            <w:tcW w:w="3132" w:type="dxa"/>
            <w:shd w:val="clear" w:color="auto" w:fill="auto"/>
            <w:tcMar>
              <w:left w:w="108" w:type="dxa"/>
            </w:tcMar>
            <w:vAlign w:val="center"/>
          </w:tcPr>
          <w:p w:rsidR="00FC1452" w:rsidRDefault="004833FD">
            <w:pPr>
              <w:jc w:val="center"/>
              <w:rPr>
                <w:sz w:val="18"/>
                <w:szCs w:val="18"/>
              </w:rPr>
            </w:pPr>
            <w:r>
              <w:rPr>
                <w:sz w:val="18"/>
                <w:szCs w:val="18"/>
              </w:rPr>
              <w:t>Nazwa i adres Wykonawcy</w:t>
            </w:r>
          </w:p>
        </w:tc>
        <w:tc>
          <w:tcPr>
            <w:tcW w:w="1303" w:type="dxa"/>
            <w:shd w:val="clear" w:color="auto" w:fill="auto"/>
            <w:tcMar>
              <w:left w:w="108" w:type="dxa"/>
            </w:tcMar>
            <w:vAlign w:val="center"/>
          </w:tcPr>
          <w:p w:rsidR="00FC1452" w:rsidRDefault="004833FD">
            <w:pPr>
              <w:jc w:val="center"/>
              <w:rPr>
                <w:sz w:val="18"/>
                <w:szCs w:val="18"/>
              </w:rPr>
            </w:pPr>
            <w:r>
              <w:rPr>
                <w:b/>
                <w:color w:val="0D0D0D" w:themeColor="text1" w:themeTint="F2"/>
                <w:sz w:val="18"/>
                <w:szCs w:val="18"/>
              </w:rPr>
              <w:t>Cena</w:t>
            </w:r>
          </w:p>
        </w:tc>
        <w:tc>
          <w:tcPr>
            <w:tcW w:w="1427" w:type="dxa"/>
            <w:shd w:val="clear" w:color="auto" w:fill="auto"/>
            <w:tcMar>
              <w:left w:w="108" w:type="dxa"/>
            </w:tcMar>
            <w:vAlign w:val="center"/>
          </w:tcPr>
          <w:p w:rsidR="00FC1452" w:rsidRDefault="004833FD">
            <w:pPr>
              <w:jc w:val="center"/>
              <w:rPr>
                <w:sz w:val="18"/>
                <w:szCs w:val="18"/>
              </w:rPr>
            </w:pPr>
            <w:r>
              <w:rPr>
                <w:b/>
                <w:sz w:val="18"/>
                <w:szCs w:val="18"/>
              </w:rPr>
              <w:t>Przedłużenie gwarancji</w:t>
            </w:r>
          </w:p>
        </w:tc>
        <w:tc>
          <w:tcPr>
            <w:tcW w:w="1330" w:type="dxa"/>
            <w:shd w:val="clear" w:color="auto" w:fill="auto"/>
            <w:tcMar>
              <w:left w:w="108" w:type="dxa"/>
            </w:tcMar>
            <w:vAlign w:val="center"/>
          </w:tcPr>
          <w:p w:rsidR="00FC1452" w:rsidRDefault="004833FD">
            <w:pPr>
              <w:jc w:val="center"/>
              <w:rPr>
                <w:sz w:val="18"/>
                <w:szCs w:val="18"/>
              </w:rPr>
            </w:pPr>
            <w:r>
              <w:rPr>
                <w:b/>
                <w:sz w:val="18"/>
                <w:szCs w:val="18"/>
              </w:rPr>
              <w:t>Czas dostawy</w:t>
            </w:r>
          </w:p>
        </w:tc>
        <w:tc>
          <w:tcPr>
            <w:tcW w:w="1348" w:type="dxa"/>
            <w:shd w:val="clear" w:color="auto" w:fill="auto"/>
            <w:tcMar>
              <w:left w:w="108" w:type="dxa"/>
            </w:tcMar>
            <w:vAlign w:val="center"/>
          </w:tcPr>
          <w:p w:rsidR="00FC1452" w:rsidRDefault="004833FD">
            <w:pPr>
              <w:jc w:val="center"/>
              <w:rPr>
                <w:sz w:val="18"/>
                <w:szCs w:val="18"/>
              </w:rPr>
            </w:pPr>
            <w:r>
              <w:rPr>
                <w:sz w:val="18"/>
                <w:szCs w:val="18"/>
              </w:rPr>
              <w:t>Łączna punktacja</w:t>
            </w:r>
          </w:p>
        </w:tc>
      </w:tr>
      <w:tr w:rsidR="00FC1452">
        <w:tc>
          <w:tcPr>
            <w:tcW w:w="521" w:type="dxa"/>
            <w:shd w:val="clear" w:color="auto" w:fill="auto"/>
            <w:tcMar>
              <w:left w:w="108" w:type="dxa"/>
            </w:tcMar>
            <w:vAlign w:val="center"/>
          </w:tcPr>
          <w:p w:rsidR="00FC1452" w:rsidRDefault="004833FD">
            <w:pPr>
              <w:jc w:val="center"/>
              <w:rPr>
                <w:sz w:val="18"/>
                <w:szCs w:val="18"/>
              </w:rPr>
            </w:pPr>
            <w:r>
              <w:rPr>
                <w:sz w:val="18"/>
                <w:szCs w:val="18"/>
              </w:rPr>
              <w:t>1</w:t>
            </w:r>
          </w:p>
        </w:tc>
        <w:tc>
          <w:tcPr>
            <w:tcW w:w="3132" w:type="dxa"/>
            <w:shd w:val="clear" w:color="auto" w:fill="auto"/>
            <w:tcMar>
              <w:left w:w="108" w:type="dxa"/>
            </w:tcMar>
            <w:vAlign w:val="center"/>
          </w:tcPr>
          <w:p w:rsidR="00FC1452" w:rsidRDefault="004833FD">
            <w:pPr>
              <w:jc w:val="center"/>
              <w:rPr>
                <w:sz w:val="18"/>
                <w:szCs w:val="18"/>
              </w:rPr>
            </w:pPr>
            <w:r>
              <w:rPr>
                <w:sz w:val="18"/>
                <w:szCs w:val="18"/>
              </w:rPr>
              <w:t>AF SEKO</w:t>
            </w:r>
          </w:p>
          <w:p w:rsidR="00FC1452" w:rsidRDefault="004833FD">
            <w:pPr>
              <w:spacing w:after="240"/>
              <w:jc w:val="center"/>
              <w:rPr>
                <w:sz w:val="18"/>
                <w:szCs w:val="18"/>
              </w:rPr>
            </w:pPr>
            <w:r>
              <w:rPr>
                <w:sz w:val="18"/>
                <w:szCs w:val="18"/>
              </w:rPr>
              <w:t>Sp. z o.o., 43-300 Bielsko-Biała, ul. Bogusławskiego 17</w:t>
            </w:r>
          </w:p>
        </w:tc>
        <w:tc>
          <w:tcPr>
            <w:tcW w:w="1303" w:type="dxa"/>
            <w:shd w:val="clear" w:color="auto" w:fill="auto"/>
            <w:tcMar>
              <w:left w:w="108" w:type="dxa"/>
            </w:tcMar>
            <w:vAlign w:val="center"/>
          </w:tcPr>
          <w:p w:rsidR="00FC1452" w:rsidRDefault="004833FD">
            <w:pPr>
              <w:jc w:val="center"/>
              <w:rPr>
                <w:sz w:val="18"/>
                <w:szCs w:val="18"/>
              </w:rPr>
            </w:pPr>
            <w:r>
              <w:rPr>
                <w:sz w:val="18"/>
                <w:szCs w:val="18"/>
              </w:rPr>
              <w:t>49,21</w:t>
            </w:r>
          </w:p>
        </w:tc>
        <w:tc>
          <w:tcPr>
            <w:tcW w:w="1427" w:type="dxa"/>
            <w:shd w:val="clear" w:color="auto" w:fill="auto"/>
            <w:tcMar>
              <w:left w:w="108" w:type="dxa"/>
            </w:tcMar>
            <w:vAlign w:val="center"/>
          </w:tcPr>
          <w:p w:rsidR="00FC1452" w:rsidRDefault="004833FD">
            <w:pPr>
              <w:jc w:val="center"/>
              <w:rPr>
                <w:sz w:val="18"/>
                <w:szCs w:val="18"/>
              </w:rPr>
            </w:pPr>
            <w:r>
              <w:rPr>
                <w:sz w:val="18"/>
                <w:szCs w:val="18"/>
              </w:rPr>
              <w:t>12,50</w:t>
            </w:r>
          </w:p>
        </w:tc>
        <w:tc>
          <w:tcPr>
            <w:tcW w:w="1330" w:type="dxa"/>
            <w:shd w:val="clear" w:color="auto" w:fill="auto"/>
            <w:tcMar>
              <w:left w:w="108" w:type="dxa"/>
            </w:tcMar>
            <w:vAlign w:val="center"/>
          </w:tcPr>
          <w:p w:rsidR="00FC1452" w:rsidRDefault="004833FD">
            <w:pPr>
              <w:jc w:val="center"/>
              <w:rPr>
                <w:sz w:val="18"/>
                <w:szCs w:val="18"/>
              </w:rPr>
            </w:pPr>
            <w:r>
              <w:rPr>
                <w:sz w:val="18"/>
                <w:szCs w:val="18"/>
              </w:rPr>
              <w:t>5,00</w:t>
            </w:r>
          </w:p>
        </w:tc>
        <w:tc>
          <w:tcPr>
            <w:tcW w:w="1348" w:type="dxa"/>
            <w:shd w:val="clear" w:color="auto" w:fill="auto"/>
            <w:tcMar>
              <w:left w:w="108" w:type="dxa"/>
            </w:tcMar>
            <w:vAlign w:val="center"/>
          </w:tcPr>
          <w:p w:rsidR="00FC1452" w:rsidRDefault="004833FD">
            <w:pPr>
              <w:jc w:val="center"/>
              <w:rPr>
                <w:sz w:val="18"/>
                <w:szCs w:val="18"/>
              </w:rPr>
            </w:pPr>
            <w:r>
              <w:rPr>
                <w:sz w:val="18"/>
                <w:szCs w:val="18"/>
              </w:rPr>
              <w:t>66,71</w:t>
            </w:r>
          </w:p>
        </w:tc>
      </w:tr>
      <w:tr w:rsidR="00FC1452">
        <w:tc>
          <w:tcPr>
            <w:tcW w:w="521" w:type="dxa"/>
            <w:shd w:val="clear" w:color="auto" w:fill="auto"/>
            <w:tcMar>
              <w:left w:w="108" w:type="dxa"/>
            </w:tcMar>
            <w:vAlign w:val="center"/>
          </w:tcPr>
          <w:p w:rsidR="00FC1452" w:rsidRDefault="004833FD">
            <w:pPr>
              <w:jc w:val="center"/>
              <w:rPr>
                <w:sz w:val="18"/>
                <w:szCs w:val="18"/>
              </w:rPr>
            </w:pPr>
            <w:r>
              <w:rPr>
                <w:sz w:val="18"/>
                <w:szCs w:val="18"/>
              </w:rPr>
              <w:t>2</w:t>
            </w:r>
          </w:p>
        </w:tc>
        <w:tc>
          <w:tcPr>
            <w:tcW w:w="3132" w:type="dxa"/>
            <w:shd w:val="clear" w:color="auto" w:fill="auto"/>
            <w:tcMar>
              <w:left w:w="108" w:type="dxa"/>
            </w:tcMar>
            <w:vAlign w:val="center"/>
          </w:tcPr>
          <w:p w:rsidR="00FC1452" w:rsidRDefault="004833FD">
            <w:pPr>
              <w:jc w:val="center"/>
              <w:rPr>
                <w:sz w:val="18"/>
                <w:szCs w:val="18"/>
              </w:rPr>
            </w:pPr>
            <w:r>
              <w:rPr>
                <w:sz w:val="18"/>
                <w:szCs w:val="18"/>
              </w:rPr>
              <w:t>ALLTECH S.J</w:t>
            </w:r>
          </w:p>
          <w:p w:rsidR="00FC1452" w:rsidRDefault="004833FD">
            <w:pPr>
              <w:jc w:val="center"/>
              <w:rPr>
                <w:sz w:val="18"/>
                <w:szCs w:val="18"/>
              </w:rPr>
            </w:pPr>
            <w:r>
              <w:rPr>
                <w:sz w:val="18"/>
                <w:szCs w:val="18"/>
              </w:rPr>
              <w:t>Zdzisław Pająk, Artur Pająk</w:t>
            </w:r>
          </w:p>
          <w:p w:rsidR="00FC1452" w:rsidRDefault="004833FD">
            <w:pPr>
              <w:spacing w:after="240"/>
              <w:jc w:val="center"/>
              <w:rPr>
                <w:sz w:val="18"/>
                <w:szCs w:val="18"/>
              </w:rPr>
            </w:pPr>
            <w:r>
              <w:rPr>
                <w:sz w:val="18"/>
                <w:szCs w:val="18"/>
              </w:rPr>
              <w:lastRenderedPageBreak/>
              <w:t>09- 407 Płock, ul. Spółdzielcza 33</w:t>
            </w:r>
          </w:p>
        </w:tc>
        <w:tc>
          <w:tcPr>
            <w:tcW w:w="1303" w:type="dxa"/>
            <w:shd w:val="clear" w:color="auto" w:fill="auto"/>
            <w:tcMar>
              <w:left w:w="108" w:type="dxa"/>
            </w:tcMar>
            <w:vAlign w:val="center"/>
          </w:tcPr>
          <w:p w:rsidR="00FC1452" w:rsidRDefault="004833FD">
            <w:pPr>
              <w:jc w:val="center"/>
              <w:rPr>
                <w:sz w:val="18"/>
                <w:szCs w:val="18"/>
              </w:rPr>
            </w:pPr>
            <w:r>
              <w:rPr>
                <w:sz w:val="18"/>
                <w:szCs w:val="18"/>
              </w:rPr>
              <w:lastRenderedPageBreak/>
              <w:t>56,20</w:t>
            </w:r>
          </w:p>
        </w:tc>
        <w:tc>
          <w:tcPr>
            <w:tcW w:w="1427" w:type="dxa"/>
            <w:shd w:val="clear" w:color="auto" w:fill="auto"/>
            <w:tcMar>
              <w:left w:w="108" w:type="dxa"/>
            </w:tcMar>
            <w:vAlign w:val="center"/>
          </w:tcPr>
          <w:p w:rsidR="00FC1452" w:rsidRDefault="004833FD">
            <w:pPr>
              <w:jc w:val="center"/>
              <w:rPr>
                <w:sz w:val="18"/>
                <w:szCs w:val="18"/>
              </w:rPr>
            </w:pPr>
            <w:r>
              <w:rPr>
                <w:sz w:val="18"/>
                <w:szCs w:val="18"/>
              </w:rPr>
              <w:t>25,00</w:t>
            </w:r>
          </w:p>
        </w:tc>
        <w:tc>
          <w:tcPr>
            <w:tcW w:w="1330" w:type="dxa"/>
            <w:shd w:val="clear" w:color="auto" w:fill="auto"/>
            <w:tcMar>
              <w:left w:w="108" w:type="dxa"/>
            </w:tcMar>
            <w:vAlign w:val="center"/>
          </w:tcPr>
          <w:p w:rsidR="00FC1452" w:rsidRDefault="004833FD">
            <w:pPr>
              <w:jc w:val="center"/>
              <w:rPr>
                <w:sz w:val="18"/>
                <w:szCs w:val="18"/>
              </w:rPr>
            </w:pPr>
            <w:r>
              <w:rPr>
                <w:sz w:val="18"/>
                <w:szCs w:val="18"/>
              </w:rPr>
              <w:t>15,00</w:t>
            </w:r>
          </w:p>
        </w:tc>
        <w:tc>
          <w:tcPr>
            <w:tcW w:w="1348" w:type="dxa"/>
            <w:shd w:val="clear" w:color="auto" w:fill="auto"/>
            <w:tcMar>
              <w:left w:w="108" w:type="dxa"/>
            </w:tcMar>
            <w:vAlign w:val="center"/>
          </w:tcPr>
          <w:p w:rsidR="00FC1452" w:rsidRDefault="004833FD">
            <w:pPr>
              <w:jc w:val="center"/>
              <w:rPr>
                <w:sz w:val="18"/>
                <w:szCs w:val="18"/>
              </w:rPr>
            </w:pPr>
            <w:r>
              <w:rPr>
                <w:sz w:val="18"/>
                <w:szCs w:val="18"/>
              </w:rPr>
              <w:t>96,20</w:t>
            </w:r>
          </w:p>
        </w:tc>
      </w:tr>
      <w:tr w:rsidR="00FC1452">
        <w:tc>
          <w:tcPr>
            <w:tcW w:w="521" w:type="dxa"/>
            <w:shd w:val="clear" w:color="auto" w:fill="auto"/>
            <w:tcMar>
              <w:left w:w="108" w:type="dxa"/>
            </w:tcMar>
            <w:vAlign w:val="center"/>
          </w:tcPr>
          <w:p w:rsidR="00FC1452" w:rsidRDefault="004833FD">
            <w:pPr>
              <w:jc w:val="center"/>
              <w:rPr>
                <w:sz w:val="18"/>
                <w:szCs w:val="18"/>
              </w:rPr>
            </w:pPr>
            <w:r>
              <w:rPr>
                <w:sz w:val="18"/>
                <w:szCs w:val="18"/>
              </w:rPr>
              <w:t>3</w:t>
            </w:r>
          </w:p>
        </w:tc>
        <w:tc>
          <w:tcPr>
            <w:tcW w:w="3132" w:type="dxa"/>
            <w:shd w:val="clear" w:color="auto" w:fill="auto"/>
            <w:tcMar>
              <w:left w:w="108" w:type="dxa"/>
            </w:tcMar>
            <w:vAlign w:val="center"/>
          </w:tcPr>
          <w:p w:rsidR="00FC1452" w:rsidRDefault="004833FD">
            <w:pPr>
              <w:jc w:val="center"/>
              <w:rPr>
                <w:sz w:val="18"/>
                <w:szCs w:val="18"/>
              </w:rPr>
            </w:pPr>
            <w:r>
              <w:rPr>
                <w:sz w:val="18"/>
                <w:szCs w:val="18"/>
              </w:rPr>
              <w:t>GRUPA E</w:t>
            </w:r>
          </w:p>
          <w:p w:rsidR="00FC1452" w:rsidRDefault="004833FD">
            <w:pPr>
              <w:jc w:val="center"/>
              <w:rPr>
                <w:sz w:val="18"/>
                <w:szCs w:val="18"/>
              </w:rPr>
            </w:pPr>
            <w:r>
              <w:rPr>
                <w:sz w:val="18"/>
                <w:szCs w:val="18"/>
              </w:rPr>
              <w:t>Sp. z o.o.</w:t>
            </w:r>
          </w:p>
          <w:p w:rsidR="00FC1452" w:rsidRDefault="004833FD">
            <w:pPr>
              <w:jc w:val="center"/>
              <w:rPr>
                <w:sz w:val="18"/>
                <w:szCs w:val="18"/>
              </w:rPr>
            </w:pPr>
            <w:r>
              <w:rPr>
                <w:sz w:val="18"/>
                <w:szCs w:val="18"/>
              </w:rPr>
              <w:t>43-100 Tychy, ul. Piwna 32</w:t>
            </w:r>
          </w:p>
        </w:tc>
        <w:tc>
          <w:tcPr>
            <w:tcW w:w="1303" w:type="dxa"/>
            <w:shd w:val="clear" w:color="auto" w:fill="auto"/>
            <w:tcMar>
              <w:left w:w="108" w:type="dxa"/>
            </w:tcMar>
            <w:vAlign w:val="center"/>
          </w:tcPr>
          <w:p w:rsidR="00FC1452" w:rsidRDefault="004833FD">
            <w:pPr>
              <w:jc w:val="center"/>
              <w:rPr>
                <w:sz w:val="18"/>
                <w:szCs w:val="18"/>
              </w:rPr>
            </w:pPr>
            <w:r>
              <w:rPr>
                <w:sz w:val="18"/>
                <w:szCs w:val="18"/>
              </w:rPr>
              <w:t>60,00</w:t>
            </w:r>
          </w:p>
        </w:tc>
        <w:tc>
          <w:tcPr>
            <w:tcW w:w="1427" w:type="dxa"/>
            <w:shd w:val="clear" w:color="auto" w:fill="auto"/>
            <w:tcMar>
              <w:left w:w="108" w:type="dxa"/>
            </w:tcMar>
            <w:vAlign w:val="center"/>
          </w:tcPr>
          <w:p w:rsidR="00FC1452" w:rsidRDefault="004833FD">
            <w:pPr>
              <w:jc w:val="center"/>
              <w:rPr>
                <w:sz w:val="18"/>
                <w:szCs w:val="18"/>
              </w:rPr>
            </w:pPr>
            <w:r>
              <w:rPr>
                <w:sz w:val="18"/>
                <w:szCs w:val="18"/>
              </w:rPr>
              <w:t>25,00</w:t>
            </w:r>
          </w:p>
        </w:tc>
        <w:tc>
          <w:tcPr>
            <w:tcW w:w="1330" w:type="dxa"/>
            <w:shd w:val="clear" w:color="auto" w:fill="auto"/>
            <w:tcMar>
              <w:left w:w="108" w:type="dxa"/>
            </w:tcMar>
            <w:vAlign w:val="center"/>
          </w:tcPr>
          <w:p w:rsidR="00FC1452" w:rsidRDefault="004833FD">
            <w:pPr>
              <w:jc w:val="center"/>
              <w:rPr>
                <w:sz w:val="18"/>
                <w:szCs w:val="18"/>
              </w:rPr>
            </w:pPr>
            <w:r>
              <w:rPr>
                <w:sz w:val="18"/>
                <w:szCs w:val="18"/>
              </w:rPr>
              <w:t>15,00</w:t>
            </w:r>
          </w:p>
        </w:tc>
        <w:tc>
          <w:tcPr>
            <w:tcW w:w="1348" w:type="dxa"/>
            <w:shd w:val="clear" w:color="auto" w:fill="auto"/>
            <w:tcMar>
              <w:left w:w="108" w:type="dxa"/>
            </w:tcMar>
            <w:vAlign w:val="center"/>
          </w:tcPr>
          <w:p w:rsidR="00FC1452" w:rsidRDefault="004833FD">
            <w:pPr>
              <w:jc w:val="center"/>
              <w:rPr>
                <w:sz w:val="18"/>
                <w:szCs w:val="18"/>
              </w:rPr>
            </w:pPr>
            <w:r>
              <w:rPr>
                <w:sz w:val="18"/>
                <w:szCs w:val="18"/>
              </w:rPr>
              <w:t>100</w:t>
            </w:r>
          </w:p>
        </w:tc>
      </w:tr>
    </w:tbl>
    <w:p w:rsidR="00FC1452" w:rsidRDefault="004833FD">
      <w:pPr>
        <w:pStyle w:val="Akapitzlist"/>
        <w:numPr>
          <w:ilvl w:val="0"/>
          <w:numId w:val="2"/>
        </w:numPr>
        <w:spacing w:before="240" w:after="240"/>
        <w:ind w:left="425" w:hanging="425"/>
        <w:jc w:val="both"/>
        <w:rPr>
          <w:sz w:val="20"/>
          <w:szCs w:val="20"/>
        </w:rPr>
      </w:pPr>
      <w:r>
        <w:rPr>
          <w:sz w:val="20"/>
          <w:szCs w:val="20"/>
        </w:rPr>
        <w:t xml:space="preserve">Na podstawie art. 254 ust. 2 ustawy </w:t>
      </w:r>
      <w:proofErr w:type="spellStart"/>
      <w:r>
        <w:rPr>
          <w:sz w:val="20"/>
          <w:szCs w:val="20"/>
        </w:rPr>
        <w:t>Pzp</w:t>
      </w:r>
      <w:proofErr w:type="spellEnd"/>
      <w:r>
        <w:rPr>
          <w:sz w:val="20"/>
          <w:szCs w:val="20"/>
        </w:rPr>
        <w:t xml:space="preserve"> Zamawiający informuje o unieważnieniu postępowania w następujących częściach:</w:t>
      </w:r>
    </w:p>
    <w:p w:rsidR="00FC1452" w:rsidRDefault="004833FD">
      <w:pPr>
        <w:pStyle w:val="Akapitzlist"/>
        <w:numPr>
          <w:ilvl w:val="0"/>
          <w:numId w:val="3"/>
        </w:numPr>
        <w:spacing w:before="240" w:after="240"/>
        <w:ind w:left="782" w:hanging="357"/>
        <w:jc w:val="both"/>
        <w:rPr>
          <w:sz w:val="20"/>
          <w:szCs w:val="20"/>
        </w:rPr>
      </w:pPr>
      <w:r>
        <w:rPr>
          <w:sz w:val="20"/>
          <w:szCs w:val="20"/>
        </w:rPr>
        <w:t xml:space="preserve">Część II przedmiotowego zamówienia została unieważniona zgodnie z art. 255 ust. 3 ustawy </w:t>
      </w:r>
      <w:proofErr w:type="spellStart"/>
      <w:r>
        <w:rPr>
          <w:sz w:val="20"/>
          <w:szCs w:val="20"/>
        </w:rPr>
        <w:t>Pzp</w:t>
      </w:r>
      <w:proofErr w:type="spellEnd"/>
      <w:r>
        <w:rPr>
          <w:sz w:val="20"/>
          <w:szCs w:val="20"/>
        </w:rPr>
        <w:t>: cena lub koszt najkorzystniejszej oferty lub oferta z najniższą ceną przewyższa kwotę, którą zamawiający zamierza przeznaczyć na sfinansowanie zamówienia. Biorąc pod uwagę fakt, że zamawiający nie może zwiększyć kwoty przeznaczonej na wykonanie zadania do ceny lub kosztu najkorzystniejszej oferty, należało unieważnić część II przedmiotowego postępowania.</w:t>
      </w:r>
    </w:p>
    <w:p w:rsidR="00FC1452" w:rsidRPr="00E85545" w:rsidRDefault="004833FD" w:rsidP="00E85545">
      <w:pPr>
        <w:pStyle w:val="Akapitzlist"/>
        <w:numPr>
          <w:ilvl w:val="0"/>
          <w:numId w:val="3"/>
        </w:numPr>
        <w:spacing w:before="100" w:beforeAutospacing="1" w:after="1200"/>
        <w:ind w:left="782" w:hanging="357"/>
        <w:jc w:val="both"/>
        <w:rPr>
          <w:sz w:val="20"/>
          <w:szCs w:val="20"/>
        </w:rPr>
      </w:pPr>
      <w:r>
        <w:rPr>
          <w:sz w:val="20"/>
          <w:szCs w:val="20"/>
        </w:rPr>
        <w:t xml:space="preserve">Część IV przedmiotowego zamówienia została unieważniona zgodnie z art. 255 ust. 3 ustawy </w:t>
      </w:r>
      <w:proofErr w:type="spellStart"/>
      <w:r>
        <w:rPr>
          <w:sz w:val="20"/>
          <w:szCs w:val="20"/>
        </w:rPr>
        <w:t>Pzp</w:t>
      </w:r>
      <w:proofErr w:type="spellEnd"/>
      <w:r>
        <w:rPr>
          <w:sz w:val="20"/>
          <w:szCs w:val="20"/>
        </w:rPr>
        <w:t xml:space="preserve">: cena lub koszt najkorzystniejszej oferty lub oferta z najniższą ceną przewyższa kwotę, którą zamawiający zamierza przeznaczyć na sfinansowanie zamówienia. Biorąc pod uwagę fakt, że zamawiający nie może zwiększyć kwoty przeznaczonej na wykonanie zadania do ceny lub kosztu najkorzystniejszej oferty, należało unieważnić część IV przedmiotowego </w:t>
      </w:r>
      <w:r w:rsidRPr="00E85545">
        <w:rPr>
          <w:sz w:val="20"/>
          <w:szCs w:val="20"/>
        </w:rPr>
        <w:t>postępowania.</w:t>
      </w:r>
    </w:p>
    <w:p w:rsidR="00E85545" w:rsidRPr="00E85545" w:rsidRDefault="00E85545" w:rsidP="00CD3237">
      <w:pPr>
        <w:spacing w:before="100" w:beforeAutospacing="1" w:after="120"/>
        <w:ind w:left="5664" w:firstLine="709"/>
        <w:jc w:val="both"/>
        <w:rPr>
          <w:sz w:val="20"/>
          <w:szCs w:val="20"/>
        </w:rPr>
      </w:pPr>
      <w:r w:rsidRPr="00E85545">
        <w:rPr>
          <w:sz w:val="20"/>
          <w:szCs w:val="20"/>
        </w:rPr>
        <w:t>Z-ca Dyrektora WORD</w:t>
      </w:r>
    </w:p>
    <w:p w:rsidR="00E85545" w:rsidRPr="00E85545" w:rsidRDefault="00E85545" w:rsidP="00CD3237">
      <w:pPr>
        <w:spacing w:before="100" w:beforeAutospacing="1" w:after="360"/>
        <w:ind w:left="5664" w:firstLine="708"/>
        <w:jc w:val="both"/>
        <w:rPr>
          <w:sz w:val="20"/>
          <w:szCs w:val="20"/>
        </w:rPr>
      </w:pPr>
      <w:r w:rsidRPr="00E85545">
        <w:rPr>
          <w:sz w:val="20"/>
          <w:szCs w:val="20"/>
        </w:rPr>
        <w:t>Krzysztof Przybylski</w:t>
      </w:r>
    </w:p>
    <w:sectPr w:rsidR="00E85545" w:rsidRPr="00E85545">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4014"/>
    <w:multiLevelType w:val="multilevel"/>
    <w:tmpl w:val="02FCF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055EC3"/>
    <w:multiLevelType w:val="multilevel"/>
    <w:tmpl w:val="5D1C5D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1334F4"/>
    <w:multiLevelType w:val="multilevel"/>
    <w:tmpl w:val="57224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9A9459B"/>
    <w:multiLevelType w:val="multilevel"/>
    <w:tmpl w:val="35DA34D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52"/>
    <w:rsid w:val="004833FD"/>
    <w:rsid w:val="006B320A"/>
    <w:rsid w:val="009C243C"/>
    <w:rsid w:val="00CD3237"/>
    <w:rsid w:val="00E85545"/>
    <w:rsid w:val="00FC14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43733-8F68-4046-872C-CD4CC63C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178D"/>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072D29"/>
    <w:rPr>
      <w:rFonts w:ascii="Times New Roman" w:eastAsia="Times New Roman" w:hAnsi="Times New Roman" w:cs="Times New Roman"/>
      <w:b/>
      <w:bCs/>
      <w:sz w:val="24"/>
      <w:szCs w:val="24"/>
      <w:lang w:eastAsia="ar-SA"/>
    </w:rPr>
  </w:style>
  <w:style w:type="character" w:customStyle="1" w:styleId="czeinternetowe">
    <w:name w:val="Łącze internetowe"/>
    <w:basedOn w:val="Domylnaczcionkaakapitu"/>
    <w:uiPriority w:val="99"/>
    <w:unhideWhenUsed/>
    <w:rsid w:val="00793189"/>
    <w:rPr>
      <w:color w:val="0000FF" w:themeColor="hyperlink"/>
      <w:u w:val="single"/>
    </w:rPr>
  </w:style>
  <w:style w:type="character" w:customStyle="1" w:styleId="TekstdymkaZnak">
    <w:name w:val="Tekst dymka Znak"/>
    <w:basedOn w:val="Domylnaczcionkaakapitu"/>
    <w:link w:val="Tekstdymka"/>
    <w:uiPriority w:val="99"/>
    <w:semiHidden/>
    <w:qFormat/>
    <w:rsid w:val="00A92B7E"/>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qFormat/>
    <w:rsid w:val="002F085B"/>
    <w:rPr>
      <w:sz w:val="16"/>
      <w:szCs w:val="16"/>
    </w:rPr>
  </w:style>
  <w:style w:type="character" w:customStyle="1" w:styleId="TekstkomentarzaZnak">
    <w:name w:val="Tekst komentarza Znak"/>
    <w:basedOn w:val="Domylnaczcionkaakapitu"/>
    <w:link w:val="Tekstkomentarza"/>
    <w:uiPriority w:val="99"/>
    <w:semiHidden/>
    <w:qFormat/>
    <w:rsid w:val="002F085B"/>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2F085B"/>
    <w:rPr>
      <w:rFonts w:ascii="Times New Roman" w:eastAsia="Times New Roman" w:hAnsi="Times New Roman" w:cs="Times New Roman"/>
      <w:b/>
      <w:bCs/>
      <w:sz w:val="20"/>
      <w:szCs w:val="20"/>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Unicode MS"/>
      <w:sz w:val="28"/>
      <w:szCs w:val="28"/>
    </w:rPr>
  </w:style>
  <w:style w:type="paragraph" w:styleId="Tekstpodstawowy">
    <w:name w:val="Body Text"/>
    <w:basedOn w:val="Normalny"/>
    <w:link w:val="TekstpodstawowyZnak"/>
    <w:rsid w:val="00072D29"/>
    <w:pPr>
      <w:widowControl w:val="0"/>
      <w:suppressAutoHyphens/>
    </w:pPr>
    <w:rPr>
      <w:b/>
      <w:bCs/>
      <w:lang w:eastAsia="ar-SA"/>
    </w:r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qFormat/>
    <w:pPr>
      <w:suppressLineNumbers/>
    </w:pPr>
    <w:rPr>
      <w:rFonts w:cs="Arial Unicode MS"/>
    </w:rPr>
  </w:style>
  <w:style w:type="paragraph" w:styleId="NormalnyWeb">
    <w:name w:val="Normal (Web)"/>
    <w:basedOn w:val="Normalny"/>
    <w:qFormat/>
    <w:rsid w:val="005C178D"/>
    <w:pPr>
      <w:ind w:left="208"/>
    </w:pPr>
  </w:style>
  <w:style w:type="paragraph" w:styleId="Tekstdymka">
    <w:name w:val="Balloon Text"/>
    <w:basedOn w:val="Normalny"/>
    <w:link w:val="TekstdymkaZnak"/>
    <w:uiPriority w:val="99"/>
    <w:semiHidden/>
    <w:unhideWhenUsed/>
    <w:qFormat/>
    <w:rsid w:val="00A92B7E"/>
    <w:rPr>
      <w:rFonts w:ascii="Segoe UI" w:hAnsi="Segoe UI" w:cs="Segoe UI"/>
      <w:sz w:val="18"/>
      <w:szCs w:val="18"/>
    </w:rPr>
  </w:style>
  <w:style w:type="paragraph" w:styleId="Akapitzlist">
    <w:name w:val="List Paragraph"/>
    <w:basedOn w:val="Normalny"/>
    <w:uiPriority w:val="34"/>
    <w:qFormat/>
    <w:rsid w:val="00483172"/>
    <w:pPr>
      <w:ind w:left="720"/>
      <w:contextualSpacing/>
    </w:pPr>
  </w:style>
  <w:style w:type="paragraph" w:styleId="Tekstkomentarza">
    <w:name w:val="annotation text"/>
    <w:basedOn w:val="Normalny"/>
    <w:link w:val="TekstkomentarzaZnak"/>
    <w:uiPriority w:val="99"/>
    <w:semiHidden/>
    <w:unhideWhenUsed/>
    <w:qFormat/>
    <w:rsid w:val="002F085B"/>
    <w:rPr>
      <w:sz w:val="20"/>
      <w:szCs w:val="20"/>
    </w:rPr>
  </w:style>
  <w:style w:type="paragraph" w:styleId="Tematkomentarza">
    <w:name w:val="annotation subject"/>
    <w:basedOn w:val="Tekstkomentarza"/>
    <w:link w:val="TematkomentarzaZnak"/>
    <w:uiPriority w:val="99"/>
    <w:semiHidden/>
    <w:unhideWhenUsed/>
    <w:qFormat/>
    <w:rsid w:val="002F085B"/>
    <w:rPr>
      <w:b/>
      <w:bCs/>
    </w:rPr>
  </w:style>
  <w:style w:type="table" w:styleId="Tabela-Siatka">
    <w:name w:val="Table Grid"/>
    <w:basedOn w:val="Standardowy"/>
    <w:uiPriority w:val="59"/>
    <w:rsid w:val="00632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C28C4-9545-4574-86DB-7A2A58C3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2829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dc:creator>
  <dc:description/>
  <cp:lastModifiedBy>Ewa Gawlik</cp:lastModifiedBy>
  <cp:revision>2</cp:revision>
  <cp:lastPrinted>2021-07-14T10:16:00Z</cp:lastPrinted>
  <dcterms:created xsi:type="dcterms:W3CDTF">2021-08-06T09:32:00Z</dcterms:created>
  <dcterms:modified xsi:type="dcterms:W3CDTF">2021-08-06T09:32:00Z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