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CB2A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0DD2FA0E" w:rsidR="002468BD" w:rsidRPr="008009DF" w:rsidRDefault="002468BD" w:rsidP="00C019C3">
      <w:pPr>
        <w:spacing w:before="120" w:after="360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009DF">
        <w:rPr>
          <w:rFonts w:ascii="Times New Roman" w:hAnsi="Times New Roman" w:cs="Times New Roman"/>
          <w:sz w:val="20"/>
          <w:szCs w:val="20"/>
        </w:rPr>
        <w:t>Katowice,</w:t>
      </w:r>
      <w:r w:rsidR="008009DF">
        <w:rPr>
          <w:rFonts w:ascii="Times New Roman" w:hAnsi="Times New Roman" w:cs="Times New Roman"/>
          <w:sz w:val="20"/>
          <w:szCs w:val="20"/>
        </w:rPr>
        <w:t xml:space="preserve"> 26.08.2021 r.</w:t>
      </w:r>
    </w:p>
    <w:p w14:paraId="3D51D6D2" w14:textId="6C13D544" w:rsidR="008009DF" w:rsidRDefault="002468BD" w:rsidP="00EF5BFE">
      <w:pPr>
        <w:spacing w:after="240" w:line="360" w:lineRule="auto"/>
        <w:jc w:val="both"/>
        <w:rPr>
          <w:rFonts w:ascii="Times New Roman" w:hAnsi="Times New Roman" w:cs="Arial"/>
          <w:b/>
          <w:bCs/>
          <w:sz w:val="20"/>
          <w:szCs w:val="20"/>
        </w:rPr>
      </w:pPr>
      <w:r w:rsidRPr="008009DF">
        <w:rPr>
          <w:rFonts w:ascii="Times New Roman" w:hAnsi="Times New Roman" w:cs="Times New Roman"/>
          <w:sz w:val="20"/>
          <w:szCs w:val="20"/>
        </w:rPr>
        <w:t xml:space="preserve">Zgodnie z art. 284 ust. 2 i 6 ustawy – Prawo zamówień publicznych z 11 września 2019 r. (Dz. U. z 2021 r., poz. 1129 ze zm.), Zamawiający udziela wyjaśnień treści Specyfikacji Warunków Zamówienia dot. postępowania prowadzonego w trybie </w:t>
      </w:r>
      <w:r w:rsidR="008B412B">
        <w:rPr>
          <w:rFonts w:ascii="Times New Roman" w:hAnsi="Times New Roman" w:cs="Times New Roman"/>
          <w:sz w:val="20"/>
          <w:szCs w:val="20"/>
        </w:rPr>
        <w:t xml:space="preserve">art. </w:t>
      </w:r>
      <w:r w:rsidR="008009DF">
        <w:rPr>
          <w:rFonts w:ascii="Times New Roman" w:hAnsi="Times New Roman" w:cs="Times New Roman"/>
          <w:sz w:val="20"/>
          <w:szCs w:val="20"/>
        </w:rPr>
        <w:t>275 ust. 1</w:t>
      </w:r>
      <w:r w:rsidRPr="008009DF">
        <w:rPr>
          <w:rFonts w:ascii="Times New Roman" w:hAnsi="Times New Roman" w:cs="Times New Roman"/>
          <w:sz w:val="20"/>
          <w:szCs w:val="20"/>
        </w:rPr>
        <w:t xml:space="preserve"> pn.: </w:t>
      </w:r>
      <w:r w:rsidR="008009DF" w:rsidRPr="008009DF">
        <w:rPr>
          <w:rFonts w:ascii="Times New Roman" w:hAnsi="Times New Roman" w:cs="Arial"/>
          <w:b/>
          <w:bCs/>
          <w:sz w:val="20"/>
          <w:szCs w:val="20"/>
        </w:rPr>
        <w:t>Dostawa energii elektrycznej na potrzeby Wojewódzkiego Ośrodka Ruchu Drogowego w Katowicach</w:t>
      </w:r>
      <w:r w:rsidR="008009DF">
        <w:rPr>
          <w:rFonts w:ascii="Times New Roman" w:hAnsi="Times New Roman" w:cs="Arial"/>
          <w:b/>
          <w:bCs/>
          <w:sz w:val="20"/>
          <w:szCs w:val="20"/>
        </w:rPr>
        <w:t xml:space="preserve"> </w:t>
      </w:r>
      <w:r w:rsidR="008009DF" w:rsidRPr="008009DF">
        <w:rPr>
          <w:rFonts w:ascii="Times New Roman" w:hAnsi="Times New Roman" w:cs="Arial"/>
          <w:b/>
          <w:bCs/>
          <w:sz w:val="20"/>
          <w:szCs w:val="20"/>
        </w:rPr>
        <w:t>w zakresach I - VII.</w:t>
      </w:r>
    </w:p>
    <w:p w14:paraId="59F8C2E2" w14:textId="07AB0185" w:rsidR="002468BD" w:rsidRPr="008009DF" w:rsidRDefault="002468BD" w:rsidP="00EF5BFE">
      <w:pPr>
        <w:spacing w:after="0" w:line="360" w:lineRule="auto"/>
        <w:jc w:val="both"/>
        <w:rPr>
          <w:rFonts w:ascii="Times New Roman" w:hAnsi="Times New Roman" w:cs="Arial"/>
          <w:b/>
          <w:bCs/>
          <w:sz w:val="20"/>
          <w:szCs w:val="20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 w:rsidR="006D5B1B"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</w:t>
      </w: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70DA20AA" w14:textId="5695B3AF" w:rsidR="008009DF" w:rsidRPr="008009DF" w:rsidRDefault="008009DF" w:rsidP="00EF5BFE">
      <w:pPr>
        <w:tabs>
          <w:tab w:val="right" w:pos="9356"/>
        </w:tabs>
        <w:spacing w:line="36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8009DF">
        <w:rPr>
          <w:rFonts w:ascii="Times New Roman" w:hAnsi="Times New Roman" w:cs="Times New Roman"/>
          <w:sz w:val="20"/>
          <w:szCs w:val="20"/>
        </w:rPr>
        <w:t>Wykonawca wskazuje, że zgodnie ze zmianami w Instrukcji Ruchu i Eksploatacji Sieci Dystrybucyjnej Operatorów Systemu Dystrybucyjnego, Wykonawca dokonując powiadomienia o zawarciu umowy sprzedaży jest zobowiązany do wskazania sprzedawcy rezerwowego, co jest jednoznaczne ze złożeniem oświadczenia w przedmiocie dokonania przez Zamawiającego wyboru sprzedawcy rezerwowego.</w:t>
      </w:r>
    </w:p>
    <w:p w14:paraId="3355407E" w14:textId="5B3EAFD9" w:rsidR="008009DF" w:rsidRPr="008009DF" w:rsidRDefault="008009DF" w:rsidP="00EF5BFE">
      <w:pPr>
        <w:tabs>
          <w:tab w:val="right" w:pos="9356"/>
        </w:tabs>
        <w:spacing w:line="36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8009DF">
        <w:rPr>
          <w:rFonts w:ascii="Times New Roman" w:hAnsi="Times New Roman" w:cs="Times New Roman"/>
          <w:sz w:val="20"/>
          <w:szCs w:val="20"/>
        </w:rPr>
        <w:t>Dotychczas Odbiorcy posiadający umowy dystrybucyjne nie mieli możliwości wyboru sprzedawcy rezerwowego z</w:t>
      </w:r>
      <w:r w:rsidR="00C019C3">
        <w:rPr>
          <w:rFonts w:ascii="Times New Roman" w:hAnsi="Times New Roman" w:cs="Times New Roman"/>
          <w:sz w:val="20"/>
          <w:szCs w:val="20"/>
        </w:rPr>
        <w:t> </w:t>
      </w:r>
      <w:r w:rsidRPr="008009DF">
        <w:rPr>
          <w:rFonts w:ascii="Times New Roman" w:hAnsi="Times New Roman" w:cs="Times New Roman"/>
          <w:sz w:val="20"/>
          <w:szCs w:val="20"/>
        </w:rPr>
        <w:t xml:space="preserve"> uwagi na fakt, że tylko jeden sprzedawca działający na właściwym obszarze danego Operatora Systemu Dystrybucyjnego deklarował w ramach Generalnej Umowy Dystrybucyjnej taką gotowość. W związku z tym, że pojawili się nowi sprzedawcy deklarujący chęć świadczenia usług sprzedaży rezerwowej, Odbiorcy zyskali możliwość wyboru sprzedawcy rezerwowego. Odbiorcy mogą wybrać sprzedawcę rezerwowego na etapie zawarcia umowy dystrybucyjnej. Natomiast sprzedawca - zgłaszając umowę sprzedaży i działając w imieniu klienta, będzie mógł zmienić ten wybór.</w:t>
      </w:r>
    </w:p>
    <w:p w14:paraId="2A8DFCD8" w14:textId="30976F2D" w:rsidR="008009DF" w:rsidRPr="008009DF" w:rsidRDefault="008009DF" w:rsidP="00EF5BFE">
      <w:pPr>
        <w:tabs>
          <w:tab w:val="right" w:pos="9356"/>
        </w:tabs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009DF">
        <w:rPr>
          <w:rFonts w:ascii="Times New Roman" w:hAnsi="Times New Roman" w:cs="Times New Roman"/>
          <w:sz w:val="20"/>
          <w:szCs w:val="20"/>
        </w:rPr>
        <w:t xml:space="preserve">Zamawiający wskazuje wybranego przez siebie sprzedawcę rezerwowego z wykazu sprzedawców rezerwowych dostępnego na stronie internetowej danego OSD </w:t>
      </w:r>
      <w:r w:rsidRPr="008009DF">
        <w:rPr>
          <w:rFonts w:ascii="Times New Roman" w:hAnsi="Times New Roman" w:cs="Times New Roman"/>
          <w:b/>
          <w:sz w:val="20"/>
          <w:szCs w:val="20"/>
        </w:rPr>
        <w:t>innego niż sprzedawca będący Stroną Umowy sprzedaży energii elektrycznej</w:t>
      </w:r>
      <w:r w:rsidRPr="008009DF">
        <w:rPr>
          <w:rFonts w:ascii="Times New Roman" w:hAnsi="Times New Roman" w:cs="Times New Roman"/>
          <w:sz w:val="20"/>
          <w:szCs w:val="20"/>
        </w:rPr>
        <w:t>. Upoważnia tym samym Operatora Systemu Dystrybucyjnego do zawarcia w jego imieniu i na jego rzecz – w przypadku wygaśnięcia lub zaprzestania wykonywania umowy sprzedaży przez dotychczasowego sprzedawcę – umowy sprzedaży rezerwowej ze wskazanym przez siebie sprzedawcą rezerwowym.</w:t>
      </w:r>
    </w:p>
    <w:p w14:paraId="71291EB2" w14:textId="7181F71B" w:rsidR="008009DF" w:rsidRPr="008009DF" w:rsidRDefault="008009DF" w:rsidP="00EF5BFE">
      <w:pPr>
        <w:tabs>
          <w:tab w:val="right" w:pos="9356"/>
        </w:tabs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009DF">
        <w:rPr>
          <w:rFonts w:ascii="Times New Roman" w:hAnsi="Times New Roman" w:cs="Times New Roman"/>
          <w:sz w:val="20"/>
          <w:szCs w:val="20"/>
        </w:rPr>
        <w:t>Wymóg by sprzedawcą rezerwowym mógł być tylko inny sprzedawca niż sprzedawca będący stroną zawartej umowy sprzedaży - nie dotyczy przypadku, gdy wykaz sprzedawców rezerwowych dla danego OSD obejmuje tylko jednego sprzedawcę.</w:t>
      </w:r>
    </w:p>
    <w:p w14:paraId="721B2591" w14:textId="21F1B69B" w:rsidR="008009DF" w:rsidRPr="008009DF" w:rsidRDefault="008009DF" w:rsidP="00EF5BFE">
      <w:pPr>
        <w:tabs>
          <w:tab w:val="right" w:pos="9356"/>
        </w:tabs>
        <w:spacing w:line="36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8009DF">
        <w:rPr>
          <w:rFonts w:ascii="Times New Roman" w:hAnsi="Times New Roman" w:cs="Times New Roman"/>
          <w:sz w:val="20"/>
          <w:szCs w:val="20"/>
        </w:rPr>
        <w:t>W przypadku Zamawiających którzy mają PPE zlokalizowane u kilku OSD, należy dokonać wyboru jednego sprzedawcy rezerwowego dla danego OSD.</w:t>
      </w:r>
    </w:p>
    <w:p w14:paraId="57F86BDD" w14:textId="1C11BF57" w:rsidR="008009DF" w:rsidRPr="008009DF" w:rsidRDefault="008009DF" w:rsidP="00EF5BFE">
      <w:pPr>
        <w:tabs>
          <w:tab w:val="right" w:pos="9356"/>
        </w:tabs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009DF">
        <w:rPr>
          <w:rFonts w:ascii="Times New Roman" w:hAnsi="Times New Roman" w:cs="Times New Roman"/>
          <w:sz w:val="20"/>
          <w:szCs w:val="20"/>
        </w:rPr>
        <w:t>Zwracamy się tym samym z zapytaniem czy Zamawiający po wyborze najkorzystniejszej oferty, na etapie podpisywania umowy każdorazowo wskaże wybranego sprzedawcę rezerwowego?</w:t>
      </w:r>
    </w:p>
    <w:p w14:paraId="704EF11F" w14:textId="77777777" w:rsidR="008009DF" w:rsidRPr="008009DF" w:rsidRDefault="008009DF" w:rsidP="00EF5B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09DF">
        <w:rPr>
          <w:rFonts w:ascii="Times New Roman" w:hAnsi="Times New Roman" w:cs="Times New Roman"/>
          <w:sz w:val="20"/>
          <w:szCs w:val="20"/>
          <w:u w:val="single"/>
        </w:rPr>
        <w:lastRenderedPageBreak/>
        <w:t>Wskazanie wybranego sprzedawcy rezerwowego na etapie zgłaszania umowy sprzedaży energii elektrycznej do OSD warunkuje pozytywną weryfikację zgłoszenia zmiany sprzedawcy.</w:t>
      </w:r>
      <w:r w:rsidRPr="008009D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F085B6" w14:textId="77777777" w:rsidR="008009DF" w:rsidRPr="008009DF" w:rsidRDefault="008009DF" w:rsidP="00EF5BF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678A26C1" w14:textId="036FAA2C" w:rsidR="008009DF" w:rsidRDefault="008009DF" w:rsidP="00EF5BFE">
      <w:pPr>
        <w:tabs>
          <w:tab w:val="right" w:pos="9356"/>
        </w:tabs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009DF">
        <w:rPr>
          <w:rFonts w:ascii="Times New Roman" w:hAnsi="Times New Roman" w:cs="Times New Roman"/>
          <w:bCs/>
          <w:sz w:val="20"/>
          <w:szCs w:val="20"/>
        </w:rPr>
        <w:t>Z powodu zmian</w:t>
      </w:r>
      <w:r w:rsidRPr="008009DF">
        <w:rPr>
          <w:rFonts w:ascii="Times New Roman" w:hAnsi="Times New Roman" w:cs="Times New Roman"/>
          <w:sz w:val="20"/>
          <w:szCs w:val="20"/>
        </w:rPr>
        <w:t xml:space="preserve"> Instrukcji Ruchu i Eksploatacji Sieci Dystrybucyjnej Operatorów Systemu Dystrybucyjnego</w:t>
      </w:r>
      <w:r w:rsidRPr="008009DF">
        <w:rPr>
          <w:rFonts w:ascii="Times New Roman" w:hAnsi="Times New Roman" w:cs="Times New Roman"/>
          <w:b/>
          <w:bCs/>
          <w:sz w:val="20"/>
          <w:szCs w:val="20"/>
        </w:rPr>
        <w:t xml:space="preserve"> Zamawiający dopuszcza możliwość weryfikacji pełnomocnictwa w zakresie wyboru sprzedawcy rezerwowego. </w:t>
      </w:r>
    </w:p>
    <w:p w14:paraId="5DD9E8BE" w14:textId="105C624F" w:rsidR="008009DF" w:rsidRPr="008009DF" w:rsidRDefault="008009DF" w:rsidP="00EF5BFE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2</w:t>
      </w: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70B63530" w14:textId="0EED03E2" w:rsidR="008009DF" w:rsidRPr="008009DF" w:rsidRDefault="008009DF" w:rsidP="00EF5BFE">
      <w:pPr>
        <w:tabs>
          <w:tab w:val="right" w:pos="9356"/>
        </w:tabs>
        <w:spacing w:line="360" w:lineRule="auto"/>
        <w:ind w:right="-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009DF">
        <w:rPr>
          <w:rFonts w:ascii="Times New Roman" w:hAnsi="Times New Roman" w:cs="Times New Roman"/>
          <w:bCs/>
          <w:sz w:val="20"/>
          <w:szCs w:val="20"/>
        </w:rPr>
        <w:t>Zwracamy się z prośbą o wykreślenie przedmiotowego zapisu. Wykonawca w procesie fakturowania bazuje na danych pomiarowo-rozliczeniowych otrzymywanych od OSD. Dane te dotyczą tylko wolumenu zużytej energii elektrycznej w danym okresie pomiarowo-rozliczeniowym stosowanym przez OSD. Operator Systemu Dystrybucyjnego nie</w:t>
      </w:r>
      <w:r w:rsidR="00C019C3">
        <w:rPr>
          <w:rFonts w:ascii="Times New Roman" w:hAnsi="Times New Roman" w:cs="Times New Roman"/>
          <w:bCs/>
          <w:sz w:val="20"/>
          <w:szCs w:val="20"/>
        </w:rPr>
        <w:t> </w:t>
      </w:r>
      <w:r w:rsidRPr="008009DF">
        <w:rPr>
          <w:rFonts w:ascii="Times New Roman" w:hAnsi="Times New Roman" w:cs="Times New Roman"/>
          <w:bCs/>
          <w:sz w:val="20"/>
          <w:szCs w:val="20"/>
        </w:rPr>
        <w:t xml:space="preserve"> przekazuje Wykonawcy informacji dotyczących wymiany liczników, ponieważ rozliczenia dokonywane są w oparciu o numer PPE poszczególnych punktów poboru.</w:t>
      </w:r>
    </w:p>
    <w:p w14:paraId="7ECDEEFF" w14:textId="77777777" w:rsidR="008009DF" w:rsidRPr="008009DF" w:rsidRDefault="008009DF" w:rsidP="00EF5BF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7FD5109D" w14:textId="1B2E3ECA" w:rsidR="008009DF" w:rsidRPr="008009DF" w:rsidRDefault="008009DF" w:rsidP="00EF5BFE">
      <w:pPr>
        <w:tabs>
          <w:tab w:val="right" w:pos="9356"/>
        </w:tabs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Cs/>
          <w:sz w:val="20"/>
          <w:szCs w:val="20"/>
        </w:rPr>
        <w:t xml:space="preserve">Zamawiający wyraża zgodę na wykreślenie </w:t>
      </w:r>
      <w:r w:rsidRPr="008009DF">
        <w:rPr>
          <w:rFonts w:ascii="Times New Roman" w:hAnsi="Times New Roman" w:cs="Times New Roman"/>
          <w:b/>
          <w:bCs/>
          <w:sz w:val="20"/>
          <w:szCs w:val="20"/>
        </w:rPr>
        <w:t>§ 2 ust. 8 Umowy o treści: „</w:t>
      </w:r>
      <w:r w:rsidRPr="008009DF">
        <w:rPr>
          <w:rFonts w:ascii="Times New Roman" w:hAnsi="Times New Roman" w:cs="Times New Roman"/>
          <w:sz w:val="20"/>
          <w:szCs w:val="20"/>
        </w:rPr>
        <w:t>W przypadku wymiany licznika energii elektrycznej przez OSD do sieci którego przyłączony jest Zamawiający, Wykonawca zobowiązany jest do ujęcia w</w:t>
      </w:r>
      <w:r w:rsidR="00C019C3">
        <w:rPr>
          <w:rFonts w:ascii="Times New Roman" w:hAnsi="Times New Roman" w:cs="Times New Roman"/>
          <w:sz w:val="20"/>
          <w:szCs w:val="20"/>
        </w:rPr>
        <w:t> </w:t>
      </w:r>
      <w:r w:rsidRPr="008009DF">
        <w:rPr>
          <w:rFonts w:ascii="Times New Roman" w:hAnsi="Times New Roman" w:cs="Times New Roman"/>
          <w:sz w:val="20"/>
          <w:szCs w:val="20"/>
        </w:rPr>
        <w:t xml:space="preserve"> swojej umowie z OSD zapisu o uzyskanie łączne danych zużycia ze starego i nowego licznika elektrycznego, co</w:t>
      </w:r>
      <w:r w:rsidR="00C019C3">
        <w:rPr>
          <w:rFonts w:ascii="Times New Roman" w:hAnsi="Times New Roman" w:cs="Times New Roman"/>
          <w:sz w:val="20"/>
          <w:szCs w:val="20"/>
        </w:rPr>
        <w:t> </w:t>
      </w:r>
      <w:r w:rsidRPr="008009DF">
        <w:rPr>
          <w:rFonts w:ascii="Times New Roman" w:hAnsi="Times New Roman" w:cs="Times New Roman"/>
          <w:sz w:val="20"/>
          <w:szCs w:val="20"/>
        </w:rPr>
        <w:t xml:space="preserve"> przedstawi Zamawiającemu przy fakturowaniu ( w załączniku ) punktu poboru energii elektrycznej”</w:t>
      </w:r>
    </w:p>
    <w:p w14:paraId="6D77C149" w14:textId="45056128" w:rsidR="008009DF" w:rsidRPr="008009DF" w:rsidRDefault="00EF5BFE" w:rsidP="00EF5BFE">
      <w:pPr>
        <w:tabs>
          <w:tab w:val="right" w:pos="9356"/>
        </w:tabs>
        <w:spacing w:line="360" w:lineRule="auto"/>
        <w:ind w:right="-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3</w:t>
      </w: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263EFB5E" w14:textId="77777777" w:rsidR="008009DF" w:rsidRPr="008009DF" w:rsidRDefault="008009DF" w:rsidP="00EF5BFE">
      <w:pPr>
        <w:tabs>
          <w:tab w:val="right" w:pos="9356"/>
        </w:tabs>
        <w:spacing w:line="360" w:lineRule="auto"/>
        <w:ind w:right="-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009DF">
        <w:rPr>
          <w:rFonts w:ascii="Times New Roman" w:hAnsi="Times New Roman" w:cs="Times New Roman"/>
          <w:bCs/>
          <w:sz w:val="20"/>
          <w:szCs w:val="20"/>
        </w:rPr>
        <w:t xml:space="preserve">W przypadku grup taryfowych </w:t>
      </w:r>
      <w:proofErr w:type="spellStart"/>
      <w:r w:rsidRPr="008009DF">
        <w:rPr>
          <w:rFonts w:ascii="Times New Roman" w:hAnsi="Times New Roman" w:cs="Times New Roman"/>
          <w:bCs/>
          <w:sz w:val="20"/>
          <w:szCs w:val="20"/>
        </w:rPr>
        <w:t>Cxx</w:t>
      </w:r>
      <w:proofErr w:type="spellEnd"/>
      <w:r w:rsidRPr="008009DF">
        <w:rPr>
          <w:rFonts w:ascii="Times New Roman" w:hAnsi="Times New Roman" w:cs="Times New Roman"/>
          <w:bCs/>
          <w:sz w:val="20"/>
          <w:szCs w:val="20"/>
        </w:rPr>
        <w:t xml:space="preserve"> rozliczenia dokonywane są w formacie ceny jednostkowej zł/kWh.</w:t>
      </w:r>
    </w:p>
    <w:p w14:paraId="593E03B6" w14:textId="77777777" w:rsidR="008009DF" w:rsidRPr="008009DF" w:rsidRDefault="008009DF" w:rsidP="00EF5BFE">
      <w:pPr>
        <w:tabs>
          <w:tab w:val="right" w:pos="9356"/>
        </w:tabs>
        <w:spacing w:line="360" w:lineRule="auto"/>
        <w:ind w:right="-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009DF">
        <w:rPr>
          <w:rFonts w:ascii="Times New Roman" w:hAnsi="Times New Roman" w:cs="Times New Roman"/>
          <w:bCs/>
          <w:sz w:val="20"/>
          <w:szCs w:val="20"/>
        </w:rPr>
        <w:t>Czy Zamawiający dopuści taki format rozliczeń za dostarczoną energię elektryczną?</w:t>
      </w:r>
    </w:p>
    <w:p w14:paraId="3DB31DFC" w14:textId="77777777" w:rsidR="00EF5BFE" w:rsidRPr="008009DF" w:rsidRDefault="00EF5BFE" w:rsidP="00EF5BF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529E74BC" w14:textId="77777777" w:rsidR="008009DF" w:rsidRDefault="008009DF" w:rsidP="00EF5BFE">
      <w:pPr>
        <w:tabs>
          <w:tab w:val="right" w:pos="9356"/>
        </w:tabs>
        <w:spacing w:line="36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8009DF">
        <w:rPr>
          <w:rFonts w:ascii="Times New Roman" w:hAnsi="Times New Roman" w:cs="Times New Roman"/>
          <w:bCs/>
          <w:sz w:val="20"/>
          <w:szCs w:val="20"/>
        </w:rPr>
        <w:t xml:space="preserve">Tak. W przypadku grup taryfowych </w:t>
      </w:r>
      <w:proofErr w:type="spellStart"/>
      <w:r w:rsidRPr="008009DF">
        <w:rPr>
          <w:rFonts w:ascii="Times New Roman" w:hAnsi="Times New Roman" w:cs="Times New Roman"/>
          <w:bCs/>
          <w:sz w:val="20"/>
          <w:szCs w:val="20"/>
        </w:rPr>
        <w:t>Cxx</w:t>
      </w:r>
      <w:proofErr w:type="spellEnd"/>
      <w:r w:rsidRPr="008009DF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8009DF">
        <w:rPr>
          <w:rFonts w:ascii="Times New Roman" w:hAnsi="Times New Roman" w:cs="Times New Roman"/>
          <w:sz w:val="20"/>
          <w:szCs w:val="20"/>
        </w:rPr>
        <w:t>Zamawiający dopuszcza rozliczenie w formacie ceny jednostkowej zł/kWh.</w:t>
      </w:r>
    </w:p>
    <w:p w14:paraId="0915AF5A" w14:textId="1AE7D2BC" w:rsidR="00EF5BFE" w:rsidRPr="00EF5BFE" w:rsidRDefault="00EF5BFE" w:rsidP="00EF5BFE">
      <w:pPr>
        <w:tabs>
          <w:tab w:val="right" w:pos="9356"/>
        </w:tabs>
        <w:spacing w:line="360" w:lineRule="auto"/>
        <w:ind w:right="-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4</w:t>
      </w: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51251225" w14:textId="4094FFFE" w:rsidR="00EF5BFE" w:rsidRPr="00EF5BFE" w:rsidRDefault="00EF5BFE" w:rsidP="00EF5BFE">
      <w:pPr>
        <w:autoSpaceDE w:val="0"/>
        <w:autoSpaceDN w:val="0"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5BFE">
        <w:rPr>
          <w:rFonts w:ascii="Times New Roman" w:hAnsi="Times New Roman" w:cs="Times New Roman"/>
          <w:sz w:val="20"/>
          <w:szCs w:val="20"/>
        </w:rPr>
        <w:t>Czy Zamawiający wyraża zgodę na zmianę wysokości wynagrodzenia w przypadku zmiany przepisów prawa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5BFE">
        <w:rPr>
          <w:rFonts w:ascii="Times New Roman" w:hAnsi="Times New Roman" w:cs="Times New Roman"/>
          <w:sz w:val="20"/>
          <w:szCs w:val="20"/>
        </w:rPr>
        <w:t>nakładających dodatkowe obowiązki związane z zakupem praw majątkowych lub certyfikatami dotyczącymi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5BFE">
        <w:rPr>
          <w:rFonts w:ascii="Times New Roman" w:hAnsi="Times New Roman" w:cs="Times New Roman"/>
          <w:sz w:val="20"/>
          <w:szCs w:val="20"/>
        </w:rPr>
        <w:t>efektywności energetycznej ( koszty zakupu certyfikatów) lub innych opłat o charakterze publicznoprawnym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5BFE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EF5BFE">
        <w:rPr>
          <w:rFonts w:ascii="Times New Roman" w:hAnsi="Times New Roman" w:cs="Times New Roman"/>
          <w:sz w:val="20"/>
          <w:szCs w:val="20"/>
        </w:rPr>
        <w:t xml:space="preserve"> dotyczących zakupu energii elektrycznej. Zmiana ceny energii elektrycznej ulegnie zmianie od dnia wejścia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5BFE">
        <w:rPr>
          <w:rFonts w:ascii="Times New Roman" w:hAnsi="Times New Roman" w:cs="Times New Roman"/>
          <w:sz w:val="20"/>
          <w:szCs w:val="20"/>
        </w:rPr>
        <w:t>w życie właściwych przepisów.</w:t>
      </w:r>
    </w:p>
    <w:p w14:paraId="03574E85" w14:textId="77777777" w:rsidR="00EF5BFE" w:rsidRPr="008009DF" w:rsidRDefault="00EF5BFE" w:rsidP="00EF5BFE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009D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4A8C3742" w14:textId="5474CC5A" w:rsidR="00EF5BFE" w:rsidRDefault="00EF5BFE" w:rsidP="00EF5BFE">
      <w:pPr>
        <w:tabs>
          <w:tab w:val="right" w:pos="9356"/>
        </w:tabs>
        <w:spacing w:line="360" w:lineRule="auto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 w:rsidRPr="00EF5BFE">
        <w:rPr>
          <w:rFonts w:ascii="Times New Roman" w:hAnsi="Times New Roman" w:cs="Times New Roman"/>
          <w:sz w:val="20"/>
          <w:szCs w:val="20"/>
        </w:rPr>
        <w:t xml:space="preserve">Zamawiający </w:t>
      </w:r>
      <w:r>
        <w:rPr>
          <w:rFonts w:ascii="Times New Roman" w:hAnsi="Times New Roman" w:cs="Times New Roman"/>
          <w:sz w:val="20"/>
          <w:szCs w:val="20"/>
        </w:rPr>
        <w:t xml:space="preserve">nie </w:t>
      </w:r>
      <w:r w:rsidRPr="00EF5BFE">
        <w:rPr>
          <w:rFonts w:ascii="Times New Roman" w:hAnsi="Times New Roman" w:cs="Times New Roman"/>
          <w:sz w:val="20"/>
          <w:szCs w:val="20"/>
        </w:rPr>
        <w:t>wyraża zgod</w:t>
      </w:r>
      <w:r w:rsidR="008B412B">
        <w:rPr>
          <w:rFonts w:ascii="Times New Roman" w:hAnsi="Times New Roman" w:cs="Times New Roman"/>
          <w:sz w:val="20"/>
          <w:szCs w:val="20"/>
        </w:rPr>
        <w:t>y</w:t>
      </w:r>
      <w:r w:rsidRPr="00EF5BFE">
        <w:rPr>
          <w:rFonts w:ascii="Times New Roman" w:hAnsi="Times New Roman" w:cs="Times New Roman"/>
          <w:sz w:val="20"/>
          <w:szCs w:val="20"/>
        </w:rPr>
        <w:t xml:space="preserve"> na zmianę wysokości wynagrodzenia w przypadku zmiany przepisów prawa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5BFE">
        <w:rPr>
          <w:rFonts w:ascii="Times New Roman" w:hAnsi="Times New Roman" w:cs="Times New Roman"/>
          <w:sz w:val="20"/>
          <w:szCs w:val="20"/>
        </w:rPr>
        <w:t>nakładających dodatkowe obowiązki związane z zakupem praw majątkowych lub certyfikatami dotyczącymi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019C3">
        <w:rPr>
          <w:rFonts w:ascii="Times New Roman" w:hAnsi="Times New Roman" w:cs="Times New Roman"/>
          <w:sz w:val="20"/>
          <w:szCs w:val="20"/>
        </w:rPr>
        <w:t>efektywności energetycznej (</w:t>
      </w:r>
      <w:r w:rsidRPr="00EF5BFE">
        <w:rPr>
          <w:rFonts w:ascii="Times New Roman" w:hAnsi="Times New Roman" w:cs="Times New Roman"/>
          <w:sz w:val="20"/>
          <w:szCs w:val="20"/>
        </w:rPr>
        <w:t>koszty zakupu certyfikatów) lub innych opłat o charakterze publicznoprawnym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5BFE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EF5BFE">
        <w:rPr>
          <w:rFonts w:ascii="Times New Roman" w:hAnsi="Times New Roman" w:cs="Times New Roman"/>
          <w:sz w:val="20"/>
          <w:szCs w:val="20"/>
        </w:rPr>
        <w:t xml:space="preserve"> dotyczących zakupu energii elektrycznej.</w:t>
      </w:r>
      <w:bookmarkStart w:id="0" w:name="_GoBack"/>
      <w:bookmarkEnd w:id="0"/>
    </w:p>
    <w:sectPr w:rsidR="00EF5BFE" w:rsidSect="003563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986B7" w14:textId="77777777" w:rsidR="000D6DA3" w:rsidRDefault="000D6DA3" w:rsidP="00A575C5">
      <w:pPr>
        <w:spacing w:after="0" w:line="240" w:lineRule="auto"/>
      </w:pPr>
      <w:r>
        <w:separator/>
      </w:r>
    </w:p>
  </w:endnote>
  <w:endnote w:type="continuationSeparator" w:id="0">
    <w:p w14:paraId="0E9BABCF" w14:textId="77777777" w:rsidR="000D6DA3" w:rsidRDefault="000D6DA3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2BC06" w14:textId="77777777" w:rsidR="00356394" w:rsidRPr="00356394" w:rsidRDefault="00356394" w:rsidP="00356394">
    <w:pPr>
      <w:tabs>
        <w:tab w:val="right" w:pos="9356"/>
      </w:tabs>
      <w:spacing w:line="360" w:lineRule="auto"/>
      <w:ind w:right="-284"/>
      <w:jc w:val="right"/>
      <w:rPr>
        <w:rFonts w:ascii="Times New Roman" w:hAnsi="Times New Roman" w:cs="Times New Roman"/>
        <w:sz w:val="20"/>
        <w:szCs w:val="20"/>
      </w:rPr>
    </w:pPr>
    <w:r w:rsidRPr="00356394">
      <w:rPr>
        <w:rFonts w:ascii="Times New Roman" w:hAnsi="Times New Roman" w:cs="Times New Roman"/>
        <w:sz w:val="20"/>
        <w:szCs w:val="20"/>
      </w:rPr>
      <w:t>Z-ca Dyrektora WORD</w:t>
    </w:r>
  </w:p>
  <w:p w14:paraId="53AB45B5" w14:textId="1E18A446" w:rsidR="00356394" w:rsidRPr="00356394" w:rsidRDefault="00356394" w:rsidP="00356394">
    <w:pPr>
      <w:pStyle w:val="Stopka"/>
      <w:jc w:val="right"/>
      <w:rPr>
        <w:rFonts w:ascii="Times New Roman" w:hAnsi="Times New Roman" w:cs="Times New Roman"/>
        <w:sz w:val="20"/>
        <w:szCs w:val="20"/>
      </w:rPr>
    </w:pPr>
    <w:r w:rsidRPr="00356394">
      <w:rPr>
        <w:rFonts w:ascii="Times New Roman" w:hAnsi="Times New Roman" w:cs="Times New Roman"/>
        <w:sz w:val="20"/>
        <w:szCs w:val="20"/>
      </w:rPr>
      <w:t>Krzysztof Przybylski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FABB4" w14:textId="77777777" w:rsidR="000D6DA3" w:rsidRDefault="000D6DA3" w:rsidP="00A575C5">
      <w:pPr>
        <w:spacing w:after="0" w:line="240" w:lineRule="auto"/>
      </w:pPr>
      <w:r>
        <w:separator/>
      </w:r>
    </w:p>
  </w:footnote>
  <w:footnote w:type="continuationSeparator" w:id="0">
    <w:p w14:paraId="0BF4EF6A" w14:textId="77777777" w:rsidR="000D6DA3" w:rsidRDefault="000D6DA3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79879CEB" w:rsidR="00A575C5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8009DF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.262.8.2021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16"/>
  </w:num>
  <w:num w:numId="5">
    <w:abstractNumId w:val="12"/>
  </w:num>
  <w:num w:numId="6">
    <w:abstractNumId w:val="6"/>
  </w:num>
  <w:num w:numId="7">
    <w:abstractNumId w:val="0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4"/>
  </w:num>
  <w:num w:numId="12">
    <w:abstractNumId w:val="13"/>
  </w:num>
  <w:num w:numId="13">
    <w:abstractNumId w:val="8"/>
  </w:num>
  <w:num w:numId="14">
    <w:abstractNumId w:val="2"/>
  </w:num>
  <w:num w:numId="15">
    <w:abstractNumId w:val="10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402DA"/>
    <w:rsid w:val="000D6DA3"/>
    <w:rsid w:val="00107CFD"/>
    <w:rsid w:val="001359BE"/>
    <w:rsid w:val="00142F7B"/>
    <w:rsid w:val="001A268F"/>
    <w:rsid w:val="001E3240"/>
    <w:rsid w:val="002468BD"/>
    <w:rsid w:val="00356394"/>
    <w:rsid w:val="00423747"/>
    <w:rsid w:val="0046319F"/>
    <w:rsid w:val="0046585C"/>
    <w:rsid w:val="0048716A"/>
    <w:rsid w:val="004F3E37"/>
    <w:rsid w:val="00500800"/>
    <w:rsid w:val="00536FC2"/>
    <w:rsid w:val="00553913"/>
    <w:rsid w:val="00584726"/>
    <w:rsid w:val="005867F1"/>
    <w:rsid w:val="006354D7"/>
    <w:rsid w:val="00636C70"/>
    <w:rsid w:val="006718AC"/>
    <w:rsid w:val="006D5B1B"/>
    <w:rsid w:val="008009DF"/>
    <w:rsid w:val="0085764D"/>
    <w:rsid w:val="008B412B"/>
    <w:rsid w:val="008B57E3"/>
    <w:rsid w:val="00917551"/>
    <w:rsid w:val="0095762E"/>
    <w:rsid w:val="00A2309B"/>
    <w:rsid w:val="00A2338C"/>
    <w:rsid w:val="00A575C5"/>
    <w:rsid w:val="00A83A5A"/>
    <w:rsid w:val="00AA42DF"/>
    <w:rsid w:val="00AA6E95"/>
    <w:rsid w:val="00AB2127"/>
    <w:rsid w:val="00B1107A"/>
    <w:rsid w:val="00B312C6"/>
    <w:rsid w:val="00B5417B"/>
    <w:rsid w:val="00BE481C"/>
    <w:rsid w:val="00C019C3"/>
    <w:rsid w:val="00C376B0"/>
    <w:rsid w:val="00C50B98"/>
    <w:rsid w:val="00C5279A"/>
    <w:rsid w:val="00CA6151"/>
    <w:rsid w:val="00CB2A6A"/>
    <w:rsid w:val="00CB7D4B"/>
    <w:rsid w:val="00D029B1"/>
    <w:rsid w:val="00D51EAE"/>
    <w:rsid w:val="00D75B24"/>
    <w:rsid w:val="00D96658"/>
    <w:rsid w:val="00E00F9C"/>
    <w:rsid w:val="00E3444C"/>
    <w:rsid w:val="00E46264"/>
    <w:rsid w:val="00E6667A"/>
    <w:rsid w:val="00EF1DF4"/>
    <w:rsid w:val="00EF5BFE"/>
    <w:rsid w:val="00F43092"/>
    <w:rsid w:val="00FA5FC6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FF4BC"/>
  <w15:chartTrackingRefBased/>
  <w15:docId w15:val="{34F3A964-EF95-4B86-BD95-6512260F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99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Wojcik</dc:creator>
  <cp:keywords/>
  <dc:description/>
  <cp:lastModifiedBy>Łukasz Żurawik</cp:lastModifiedBy>
  <cp:revision>9</cp:revision>
  <cp:lastPrinted>2021-08-26T08:09:00Z</cp:lastPrinted>
  <dcterms:created xsi:type="dcterms:W3CDTF">2021-07-08T08:13:00Z</dcterms:created>
  <dcterms:modified xsi:type="dcterms:W3CDTF">2021-08-26T10:47:00Z</dcterms:modified>
</cp:coreProperties>
</file>