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7777777" w:rsidR="009B68CE" w:rsidRPr="00E05F6B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5F6B">
        <w:rPr>
          <w:rFonts w:ascii="Times New Roman" w:hAnsi="Times New Roman" w:cs="Times New Roman"/>
          <w:b/>
          <w:color w:val="000000"/>
          <w:sz w:val="20"/>
          <w:szCs w:val="20"/>
        </w:rPr>
        <w:t>Załącznik nr 2</w:t>
      </w:r>
      <w:r w:rsidR="0055518A" w:rsidRPr="00E05F6B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E05F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 SWZ</w:t>
      </w:r>
    </w:p>
    <w:p w14:paraId="326CA76A" w14:textId="77777777" w:rsidR="002B16CA" w:rsidRPr="00E05F6B" w:rsidRDefault="002B16CA" w:rsidP="00E05F6B">
      <w:pPr>
        <w:pStyle w:val="Nagwek1"/>
      </w:pPr>
      <w:r w:rsidRPr="00E05F6B">
        <w:t xml:space="preserve">UMOWA UBEZPIECZENIA </w:t>
      </w:r>
    </w:p>
    <w:p w14:paraId="0D5F579E" w14:textId="77777777" w:rsidR="002B16CA" w:rsidRPr="00E05F6B" w:rsidRDefault="002B16CA" w:rsidP="00A6372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E05F6B">
        <w:rPr>
          <w:rFonts w:ascii="Times New Roman" w:hAnsi="Times New Roman" w:cs="Times New Roman"/>
          <w:b/>
          <w:sz w:val="20"/>
          <w:szCs w:val="20"/>
          <w:lang w:eastAsia="pl-PL"/>
        </w:rPr>
        <w:t>NUMER ……………………..</w:t>
      </w:r>
    </w:p>
    <w:p w14:paraId="1DB0EE2A" w14:textId="77777777" w:rsidR="002B16CA" w:rsidRPr="00E05F6B" w:rsidRDefault="008C04E9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zwana dalej również </w:t>
      </w:r>
      <w:r w:rsidRPr="00E05F6B">
        <w:rPr>
          <w:rFonts w:ascii="Times New Roman" w:hAnsi="Times New Roman" w:cs="Times New Roman"/>
          <w:b/>
          <w:bCs/>
          <w:sz w:val="20"/>
          <w:szCs w:val="20"/>
        </w:rPr>
        <w:t>„Umową”</w:t>
      </w:r>
      <w:r w:rsidRPr="00E05F6B">
        <w:rPr>
          <w:rFonts w:ascii="Times New Roman" w:hAnsi="Times New Roman" w:cs="Times New Roman"/>
          <w:sz w:val="20"/>
          <w:szCs w:val="20"/>
        </w:rPr>
        <w:t xml:space="preserve">, </w:t>
      </w:r>
      <w:r w:rsidR="00A63726" w:rsidRPr="00E05F6B">
        <w:rPr>
          <w:rFonts w:ascii="Times New Roman" w:hAnsi="Times New Roman" w:cs="Times New Roman"/>
          <w:sz w:val="20"/>
          <w:szCs w:val="20"/>
        </w:rPr>
        <w:t xml:space="preserve">zawarta </w:t>
      </w:r>
      <w:r w:rsidR="002B16CA" w:rsidRPr="00E05F6B">
        <w:rPr>
          <w:rFonts w:ascii="Times New Roman" w:hAnsi="Times New Roman" w:cs="Times New Roman"/>
          <w:sz w:val="20"/>
          <w:szCs w:val="20"/>
        </w:rPr>
        <w:t xml:space="preserve">w dniu …………………………………….. w </w:t>
      </w:r>
      <w:r w:rsidR="003833E8" w:rsidRPr="00E05F6B">
        <w:rPr>
          <w:rFonts w:ascii="Times New Roman" w:hAnsi="Times New Roman" w:cs="Times New Roman"/>
          <w:sz w:val="20"/>
          <w:szCs w:val="20"/>
        </w:rPr>
        <w:t>Katowicach,</w:t>
      </w:r>
      <w:r w:rsidR="002B16CA" w:rsidRPr="00E05F6B">
        <w:rPr>
          <w:rFonts w:ascii="Times New Roman" w:hAnsi="Times New Roman" w:cs="Times New Roman"/>
          <w:sz w:val="20"/>
          <w:szCs w:val="20"/>
        </w:rPr>
        <w:t xml:space="preserve"> pomiędzy:</w:t>
      </w:r>
    </w:p>
    <w:p w14:paraId="27AD89B7" w14:textId="77777777" w:rsidR="002B16CA" w:rsidRPr="00E05F6B" w:rsidRDefault="002B16CA" w:rsidP="00A63726">
      <w:pPr>
        <w:pStyle w:val="h2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788FDC2" w14:textId="77777777" w:rsidR="002B16CA" w:rsidRPr="00E05F6B" w:rsidRDefault="003833E8" w:rsidP="00A63726">
      <w:pPr>
        <w:pStyle w:val="h2"/>
        <w:spacing w:before="0" w:beforeAutospacing="0" w:after="0" w:afterAutospacing="0"/>
        <w:jc w:val="both"/>
        <w:rPr>
          <w:sz w:val="20"/>
          <w:szCs w:val="20"/>
        </w:rPr>
      </w:pPr>
      <w:r w:rsidRPr="00E05F6B">
        <w:rPr>
          <w:b/>
          <w:sz w:val="20"/>
          <w:szCs w:val="20"/>
        </w:rPr>
        <w:t>Wojewódzkim Ośrodkiem Ruchu Drogowego w Katowicach</w:t>
      </w:r>
      <w:r w:rsidR="00056D3F" w:rsidRPr="00E05F6B">
        <w:rPr>
          <w:b/>
          <w:sz w:val="20"/>
          <w:szCs w:val="20"/>
        </w:rPr>
        <w:t xml:space="preserve">, </w:t>
      </w:r>
      <w:r w:rsidRPr="00E05F6B">
        <w:rPr>
          <w:bCs/>
          <w:sz w:val="20"/>
          <w:szCs w:val="20"/>
        </w:rPr>
        <w:t>ul. Francuska 78, 40-507 Katowice</w:t>
      </w:r>
      <w:r w:rsidR="00056D3F" w:rsidRPr="00E05F6B">
        <w:rPr>
          <w:bCs/>
          <w:sz w:val="20"/>
          <w:szCs w:val="20"/>
        </w:rPr>
        <w:t>,</w:t>
      </w:r>
      <w:r w:rsidRPr="00E05F6B">
        <w:rPr>
          <w:bCs/>
          <w:sz w:val="20"/>
          <w:szCs w:val="20"/>
        </w:rPr>
        <w:t xml:space="preserve"> NIP …………….., REGON ……………………..,</w:t>
      </w:r>
      <w:r w:rsidR="004161B5" w:rsidRPr="00E05F6B">
        <w:rPr>
          <w:bCs/>
          <w:sz w:val="20"/>
          <w:szCs w:val="20"/>
        </w:rPr>
        <w:t xml:space="preserve"> </w:t>
      </w:r>
      <w:r w:rsidR="002B16CA" w:rsidRPr="00E05F6B">
        <w:rPr>
          <w:sz w:val="20"/>
          <w:szCs w:val="20"/>
        </w:rPr>
        <w:t xml:space="preserve">zwanym dalej również </w:t>
      </w:r>
      <w:r w:rsidR="002B16CA" w:rsidRPr="00E05F6B">
        <w:rPr>
          <w:b/>
          <w:sz w:val="20"/>
          <w:szCs w:val="20"/>
        </w:rPr>
        <w:t>„Ubezpieczającym”,</w:t>
      </w:r>
      <w:r w:rsidR="002B16CA" w:rsidRPr="00E05F6B">
        <w:rPr>
          <w:sz w:val="20"/>
          <w:szCs w:val="20"/>
        </w:rPr>
        <w:t xml:space="preserve"> reprezentowanym przez: ………………….</w:t>
      </w:r>
    </w:p>
    <w:p w14:paraId="6D7BD1DE" w14:textId="77777777" w:rsidR="002B16CA" w:rsidRPr="00E05F6B" w:rsidRDefault="002B16CA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a</w:t>
      </w:r>
    </w:p>
    <w:p w14:paraId="422F1C0C" w14:textId="6515938A" w:rsidR="002B16CA" w:rsidRPr="00E05F6B" w:rsidRDefault="002B16CA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Pr="00E05F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05F6B">
        <w:rPr>
          <w:rFonts w:ascii="Times New Roman" w:hAnsi="Times New Roman" w:cs="Times New Roman"/>
          <w:i/>
          <w:sz w:val="20"/>
          <w:szCs w:val="20"/>
        </w:rPr>
        <w:t>(pełna nazwa i forma prawna)</w:t>
      </w:r>
      <w:r w:rsidRPr="00E05F6B">
        <w:rPr>
          <w:rFonts w:ascii="Times New Roman" w:hAnsi="Times New Roman" w:cs="Times New Roman"/>
          <w:sz w:val="20"/>
          <w:szCs w:val="20"/>
        </w:rPr>
        <w:t xml:space="preserve"> z siedzibą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……………………………………, ul. …………………………………… nr ……… lok. ………………, </w:t>
      </w:r>
      <w:r w:rsidRPr="00E05F6B">
        <w:rPr>
          <w:rFonts w:ascii="Times New Roman" w:hAnsi="Times New Roman" w:cs="Times New Roman"/>
          <w:i/>
          <w:sz w:val="20"/>
          <w:szCs w:val="20"/>
        </w:rPr>
        <w:t>(kod</w:t>
      </w:r>
      <w:r w:rsidR="00E05F6B">
        <w:rPr>
          <w:rFonts w:ascii="Times New Roman" w:hAnsi="Times New Roman" w:cs="Times New Roman"/>
          <w:i/>
          <w:sz w:val="20"/>
          <w:szCs w:val="20"/>
        </w:rPr>
        <w:t> </w:t>
      </w:r>
      <w:r w:rsidRPr="00E05F6B">
        <w:rPr>
          <w:rFonts w:ascii="Times New Roman" w:hAnsi="Times New Roman" w:cs="Times New Roman"/>
          <w:i/>
          <w:sz w:val="20"/>
          <w:szCs w:val="20"/>
        </w:rPr>
        <w:t xml:space="preserve"> pocztowy)</w:t>
      </w:r>
      <w:r w:rsidRPr="00E05F6B">
        <w:rPr>
          <w:rFonts w:ascii="Times New Roman" w:hAnsi="Times New Roman" w:cs="Times New Roman"/>
          <w:sz w:val="20"/>
          <w:szCs w:val="20"/>
        </w:rPr>
        <w:t xml:space="preserve"> ……………………………… </w:t>
      </w:r>
      <w:r w:rsidRPr="00E05F6B">
        <w:rPr>
          <w:rFonts w:ascii="Times New Roman" w:hAnsi="Times New Roman" w:cs="Times New Roman"/>
          <w:i/>
          <w:sz w:val="20"/>
          <w:szCs w:val="20"/>
        </w:rPr>
        <w:t>(miasto)</w:t>
      </w:r>
      <w:r w:rsidRPr="00E05F6B">
        <w:rPr>
          <w:rFonts w:ascii="Times New Roman" w:hAnsi="Times New Roman" w:cs="Times New Roman"/>
          <w:sz w:val="20"/>
          <w:szCs w:val="20"/>
        </w:rPr>
        <w:t xml:space="preserve"> ……………………………………… wpisaną (-</w:t>
      </w:r>
      <w:r w:rsidR="003833E8" w:rsidRPr="00E05F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5F6B">
        <w:rPr>
          <w:rFonts w:ascii="Times New Roman" w:hAnsi="Times New Roman" w:cs="Times New Roman"/>
          <w:sz w:val="20"/>
          <w:szCs w:val="20"/>
        </w:rPr>
        <w:t>nym</w:t>
      </w:r>
      <w:proofErr w:type="spellEnd"/>
      <w:r w:rsidRPr="00E05F6B">
        <w:rPr>
          <w:rFonts w:ascii="Times New Roman" w:hAnsi="Times New Roman" w:cs="Times New Roman"/>
          <w:sz w:val="20"/>
          <w:szCs w:val="20"/>
        </w:rPr>
        <w:t>) do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rejestru przedsiębiorców przez Sąd …………………………………………………….. ….. Wydział ………………………………… pod numerem KRS ………………………………, posiadającą (- </w:t>
      </w:r>
      <w:r w:rsidR="008F56BA" w:rsidRPr="00E05F6B">
        <w:rPr>
          <w:rFonts w:ascii="Times New Roman" w:hAnsi="Times New Roman" w:cs="Times New Roman"/>
          <w:sz w:val="20"/>
          <w:szCs w:val="20"/>
        </w:rPr>
        <w:t>c</w:t>
      </w:r>
      <w:r w:rsidRPr="00E05F6B">
        <w:rPr>
          <w:rFonts w:ascii="Times New Roman" w:hAnsi="Times New Roman" w:cs="Times New Roman"/>
          <w:sz w:val="20"/>
          <w:szCs w:val="20"/>
        </w:rPr>
        <w:t>ym) kapitał zakładowy w wysokości ……….……………………………….., opłacony w …………………………….., NIP ………………….. oraz numer REGON…………………………., zwaną (-</w:t>
      </w:r>
      <w:r w:rsidR="003833E8" w:rsidRPr="00E05F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5F6B">
        <w:rPr>
          <w:rFonts w:ascii="Times New Roman" w:hAnsi="Times New Roman" w:cs="Times New Roman"/>
          <w:sz w:val="20"/>
          <w:szCs w:val="20"/>
        </w:rPr>
        <w:t>nym</w:t>
      </w:r>
      <w:proofErr w:type="spellEnd"/>
      <w:r w:rsidRPr="00E05F6B">
        <w:rPr>
          <w:rFonts w:ascii="Times New Roman" w:hAnsi="Times New Roman" w:cs="Times New Roman"/>
          <w:sz w:val="20"/>
          <w:szCs w:val="20"/>
        </w:rPr>
        <w:t xml:space="preserve">) dalej również </w:t>
      </w:r>
      <w:r w:rsidRPr="00E05F6B">
        <w:rPr>
          <w:rFonts w:ascii="Times New Roman" w:hAnsi="Times New Roman" w:cs="Times New Roman"/>
          <w:b/>
          <w:sz w:val="20"/>
          <w:szCs w:val="20"/>
        </w:rPr>
        <w:t>„</w:t>
      </w:r>
      <w:r w:rsidRPr="00E05F6B">
        <w:rPr>
          <w:rFonts w:ascii="Times New Roman" w:hAnsi="Times New Roman" w:cs="Times New Roman"/>
          <w:b/>
          <w:bCs/>
          <w:sz w:val="20"/>
          <w:szCs w:val="20"/>
        </w:rPr>
        <w:t xml:space="preserve">Ubezpieczycielem”, </w:t>
      </w:r>
      <w:r w:rsidRPr="00E05F6B">
        <w:rPr>
          <w:rFonts w:ascii="Times New Roman" w:hAnsi="Times New Roman" w:cs="Times New Roman"/>
          <w:sz w:val="20"/>
          <w:szCs w:val="20"/>
        </w:rPr>
        <w:t xml:space="preserve">reprezentowaną (- </w:t>
      </w:r>
      <w:proofErr w:type="spellStart"/>
      <w:r w:rsidRPr="00E05F6B">
        <w:rPr>
          <w:rFonts w:ascii="Times New Roman" w:hAnsi="Times New Roman" w:cs="Times New Roman"/>
          <w:sz w:val="20"/>
          <w:szCs w:val="20"/>
        </w:rPr>
        <w:t>nym</w:t>
      </w:r>
      <w:proofErr w:type="spellEnd"/>
      <w:r w:rsidRPr="00E05F6B">
        <w:rPr>
          <w:rFonts w:ascii="Times New Roman" w:hAnsi="Times New Roman" w:cs="Times New Roman"/>
          <w:sz w:val="20"/>
          <w:szCs w:val="20"/>
        </w:rPr>
        <w:t xml:space="preserve">) przez: </w:t>
      </w:r>
    </w:p>
    <w:p w14:paraId="2453CF81" w14:textId="77777777" w:rsidR="002B16CA" w:rsidRPr="00E05F6B" w:rsidRDefault="002B16CA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……………………………………………………………………….,</w:t>
      </w:r>
    </w:p>
    <w:p w14:paraId="3E4C44DB" w14:textId="77777777" w:rsidR="002B16CA" w:rsidRPr="00E05F6B" w:rsidRDefault="002B16CA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……………………………………………………………………….,</w:t>
      </w:r>
    </w:p>
    <w:p w14:paraId="0EFA59DB" w14:textId="77777777" w:rsidR="002B16CA" w:rsidRPr="00E05F6B" w:rsidRDefault="002B16CA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Ubezpieczający i Ubezpieczyciel zwani są dalej również łącznie </w:t>
      </w:r>
      <w:r w:rsidRPr="00E05F6B">
        <w:rPr>
          <w:rFonts w:ascii="Times New Roman" w:hAnsi="Times New Roman" w:cs="Times New Roman"/>
          <w:b/>
          <w:sz w:val="20"/>
          <w:szCs w:val="20"/>
        </w:rPr>
        <w:t>„Stronami”</w:t>
      </w:r>
      <w:r w:rsidRPr="00E05F6B">
        <w:rPr>
          <w:rFonts w:ascii="Times New Roman" w:hAnsi="Times New Roman" w:cs="Times New Roman"/>
          <w:sz w:val="20"/>
          <w:szCs w:val="20"/>
        </w:rPr>
        <w:t xml:space="preserve">, a każdy z osobna </w:t>
      </w:r>
      <w:r w:rsidRPr="00E05F6B">
        <w:rPr>
          <w:rFonts w:ascii="Times New Roman" w:hAnsi="Times New Roman" w:cs="Times New Roman"/>
          <w:b/>
          <w:sz w:val="20"/>
          <w:szCs w:val="20"/>
        </w:rPr>
        <w:t>„Stroną”</w:t>
      </w:r>
      <w:r w:rsidRPr="00E05F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97260D" w14:textId="77777777" w:rsidR="008C04E9" w:rsidRPr="00E05F6B" w:rsidRDefault="002B16CA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Umowa zostaje zawarta </w:t>
      </w:r>
      <w:r w:rsidR="008C04E9" w:rsidRPr="00E05F6B">
        <w:rPr>
          <w:rFonts w:ascii="Times New Roman" w:hAnsi="Times New Roman" w:cs="Times New Roman"/>
          <w:sz w:val="20"/>
          <w:szCs w:val="20"/>
        </w:rPr>
        <w:t xml:space="preserve">po zakończeniu </w:t>
      </w:r>
      <w:r w:rsidRPr="00E05F6B">
        <w:rPr>
          <w:rFonts w:ascii="Times New Roman" w:hAnsi="Times New Roman" w:cs="Times New Roman"/>
          <w:sz w:val="20"/>
          <w:szCs w:val="20"/>
        </w:rPr>
        <w:t xml:space="preserve">postępowania </w:t>
      </w:r>
      <w:r w:rsidR="008C04E9" w:rsidRPr="00E05F6B">
        <w:rPr>
          <w:rFonts w:ascii="Times New Roman" w:hAnsi="Times New Roman" w:cs="Times New Roman"/>
          <w:sz w:val="20"/>
          <w:szCs w:val="20"/>
        </w:rPr>
        <w:t>o udzielenie zamówienia</w:t>
      </w:r>
      <w:r w:rsidR="002E1D52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="00CB0083" w:rsidRPr="00E05F6B">
        <w:rPr>
          <w:rFonts w:ascii="Times New Roman" w:hAnsi="Times New Roman" w:cs="Times New Roman"/>
          <w:sz w:val="20"/>
          <w:szCs w:val="20"/>
        </w:rPr>
        <w:t xml:space="preserve">przeprowadzonego </w:t>
      </w:r>
      <w:r w:rsidR="002E1D52" w:rsidRPr="00E05F6B">
        <w:rPr>
          <w:rFonts w:ascii="Times New Roman" w:hAnsi="Times New Roman" w:cs="Times New Roman"/>
          <w:sz w:val="20"/>
          <w:szCs w:val="20"/>
        </w:rPr>
        <w:t>pod nazwą „</w:t>
      </w:r>
      <w:r w:rsidR="003833E8" w:rsidRPr="00E05F6B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2E1D52" w:rsidRPr="00E05F6B">
        <w:rPr>
          <w:rFonts w:ascii="Times New Roman" w:hAnsi="Times New Roman" w:cs="Times New Roman"/>
          <w:sz w:val="20"/>
          <w:szCs w:val="20"/>
        </w:rPr>
        <w:t>” oznaczonego numerem ………………………….,</w:t>
      </w:r>
      <w:r w:rsidR="008C04E9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="002E1D52" w:rsidRPr="00E05F6B">
        <w:rPr>
          <w:rFonts w:ascii="Times New Roman" w:hAnsi="Times New Roman" w:cs="Times New Roman"/>
          <w:sz w:val="20"/>
          <w:szCs w:val="20"/>
        </w:rPr>
        <w:t xml:space="preserve">w wyniku wybrania oferty </w:t>
      </w:r>
      <w:r w:rsidR="009B3531" w:rsidRPr="00E05F6B">
        <w:rPr>
          <w:rFonts w:ascii="Times New Roman" w:hAnsi="Times New Roman" w:cs="Times New Roman"/>
          <w:sz w:val="20"/>
          <w:szCs w:val="20"/>
        </w:rPr>
        <w:t>Wykonawcy</w:t>
      </w:r>
      <w:r w:rsidR="002E1D52" w:rsidRPr="00E05F6B">
        <w:rPr>
          <w:rFonts w:ascii="Times New Roman" w:hAnsi="Times New Roman" w:cs="Times New Roman"/>
          <w:sz w:val="20"/>
          <w:szCs w:val="20"/>
        </w:rPr>
        <w:t xml:space="preserve"> jako oferty najkorzystniejszej.</w:t>
      </w:r>
    </w:p>
    <w:p w14:paraId="5C5FF9AA" w14:textId="564FBC0D" w:rsidR="002B16CA" w:rsidRPr="00E05F6B" w:rsidRDefault="008C04E9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W postępowaniu o udzielenie zamówienia, a także p</w:t>
      </w:r>
      <w:r w:rsidR="002B16CA" w:rsidRPr="00E05F6B">
        <w:rPr>
          <w:rFonts w:ascii="Times New Roman" w:hAnsi="Times New Roman" w:cs="Times New Roman"/>
          <w:sz w:val="20"/>
          <w:szCs w:val="20"/>
        </w:rPr>
        <w:t>rzy zawieraniu, zarządzaniu i wykonywaniu Umowy uczestniczy</w:t>
      </w:r>
      <w:r w:rsidRPr="00E05F6B">
        <w:rPr>
          <w:rFonts w:ascii="Times New Roman" w:hAnsi="Times New Roman" w:cs="Times New Roman"/>
          <w:sz w:val="20"/>
          <w:szCs w:val="20"/>
        </w:rPr>
        <w:t xml:space="preserve"> broker ubezpieczeniowy </w:t>
      </w:r>
      <w:r w:rsidR="002B16CA" w:rsidRPr="00E05F6B">
        <w:rPr>
          <w:rFonts w:ascii="Times New Roman" w:hAnsi="Times New Roman" w:cs="Times New Roman"/>
          <w:sz w:val="20"/>
          <w:szCs w:val="20"/>
        </w:rPr>
        <w:t>PWS Konstanta S. A. z siedzibą w Bielsku-Białej, ul. Warszawska 153, 43-300 Bielsko-Biała, wpisana do rejestru przedsiębiorców Krajowego Rejestru Sądowego przez Sąd Rejonowy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2B16CA" w:rsidRPr="00E05F6B">
        <w:rPr>
          <w:rFonts w:ascii="Times New Roman" w:hAnsi="Times New Roman" w:cs="Times New Roman"/>
          <w:sz w:val="20"/>
          <w:szCs w:val="20"/>
        </w:rPr>
        <w:t xml:space="preserve"> Bielsku-Białej VIII Wydział Gospodarczy Krajowego Rejestru Sądowego pod numerem KRS 0000073190, posiadająca kapitał zakładowy opłacony w całości w wysokości 650.000,00 zł, NIP 937–000–61–46 oraz numer REGON 070490343, wpisana do rejestru pośredników ubezpieczeniowych pod numerem 00000092/U, posiadająca zezwolenie Ministra Finansów na prowadzenie działalności brokerskiej z dnia 31 marca 1995 r. o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2B16CA" w:rsidRPr="00E05F6B">
        <w:rPr>
          <w:rFonts w:ascii="Times New Roman" w:hAnsi="Times New Roman" w:cs="Times New Roman"/>
          <w:sz w:val="20"/>
          <w:szCs w:val="20"/>
        </w:rPr>
        <w:t xml:space="preserve"> numerze 516.</w:t>
      </w:r>
    </w:p>
    <w:p w14:paraId="53C7ADC7" w14:textId="77777777" w:rsidR="002B16CA" w:rsidRPr="00E05F6B" w:rsidRDefault="002B16CA" w:rsidP="00C92AF8">
      <w:pPr>
        <w:pStyle w:val="Nagwek1"/>
      </w:pPr>
      <w:r w:rsidRPr="00E05F6B">
        <w:t>§ 1</w:t>
      </w:r>
    </w:p>
    <w:p w14:paraId="2E627E77" w14:textId="77777777" w:rsidR="002B16CA" w:rsidRPr="00E05F6B" w:rsidRDefault="002B16CA" w:rsidP="00A63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Przez użyte w Umowie terminy i wyrażenia (zarówno w liczbie pojedynczej, jak i mnogiej, a także pisane wielką lub małą literą), należy rozumieć:</w:t>
      </w:r>
    </w:p>
    <w:p w14:paraId="139A6689" w14:textId="77777777" w:rsidR="002B16CA" w:rsidRPr="00E05F6B" w:rsidRDefault="002B16CA" w:rsidP="00A6372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b/>
          <w:sz w:val="20"/>
          <w:szCs w:val="20"/>
        </w:rPr>
        <w:t xml:space="preserve">KC </w:t>
      </w:r>
      <w:r w:rsidRPr="00E05F6B">
        <w:rPr>
          <w:rFonts w:ascii="Times New Roman" w:hAnsi="Times New Roman" w:cs="Times New Roman"/>
          <w:sz w:val="20"/>
          <w:szCs w:val="20"/>
        </w:rPr>
        <w:t>- ustawa z dnia 23 kwietnia 1964 r. Kodeks cywilny</w:t>
      </w:r>
      <w:r w:rsidRPr="00E05F6B">
        <w:rPr>
          <w:rFonts w:ascii="Times New Roman" w:hAnsi="Times New Roman" w:cs="Times New Roman"/>
          <w:bCs/>
          <w:sz w:val="20"/>
          <w:szCs w:val="20"/>
        </w:rPr>
        <w:t>;</w:t>
      </w:r>
    </w:p>
    <w:p w14:paraId="255C5E4D" w14:textId="09A6CD2D" w:rsidR="002B16CA" w:rsidRPr="00E05F6B" w:rsidRDefault="002B16CA" w:rsidP="00A6372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b/>
          <w:sz w:val="20"/>
          <w:szCs w:val="20"/>
        </w:rPr>
        <w:t>Ogólne warunki ubezpieczenia</w:t>
      </w:r>
      <w:r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Pr="00E05F6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E05F6B">
        <w:rPr>
          <w:rFonts w:ascii="Times New Roman" w:hAnsi="Times New Roman" w:cs="Times New Roman"/>
          <w:sz w:val="20"/>
          <w:szCs w:val="20"/>
        </w:rPr>
        <w:t>wzorzec umowy stosowany przez Ubezpieczyciela, o którym mowa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ustawie </w:t>
      </w:r>
      <w:r w:rsidR="00341779" w:rsidRPr="00E05F6B">
        <w:rPr>
          <w:rFonts w:ascii="Times New Roman" w:hAnsi="Times New Roman" w:cs="Times New Roman"/>
          <w:sz w:val="20"/>
          <w:szCs w:val="20"/>
        </w:rPr>
        <w:t xml:space="preserve">z dnia 11 września 2015 r. </w:t>
      </w:r>
      <w:r w:rsidRPr="00E05F6B">
        <w:rPr>
          <w:rFonts w:ascii="Times New Roman" w:hAnsi="Times New Roman" w:cs="Times New Roman"/>
          <w:sz w:val="20"/>
          <w:szCs w:val="20"/>
        </w:rPr>
        <w:t xml:space="preserve">o działalności ubezpieczeniowej i reasekuracyjnej, wskazany przez Ubezpieczyciela w </w:t>
      </w:r>
      <w:r w:rsidR="002E1D52" w:rsidRPr="00E05F6B">
        <w:rPr>
          <w:rFonts w:ascii="Times New Roman" w:hAnsi="Times New Roman" w:cs="Times New Roman"/>
          <w:sz w:val="20"/>
          <w:szCs w:val="20"/>
        </w:rPr>
        <w:t>ofercie</w:t>
      </w:r>
      <w:r w:rsidRPr="00E05F6B">
        <w:rPr>
          <w:rFonts w:ascii="Times New Roman" w:hAnsi="Times New Roman" w:cs="Times New Roman"/>
          <w:sz w:val="20"/>
          <w:szCs w:val="20"/>
        </w:rPr>
        <w:t>;</w:t>
      </w:r>
    </w:p>
    <w:p w14:paraId="639A8337" w14:textId="77777777" w:rsidR="002B16CA" w:rsidRPr="00E05F6B" w:rsidRDefault="002B16CA" w:rsidP="00A6372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b/>
          <w:sz w:val="20"/>
          <w:szCs w:val="20"/>
        </w:rPr>
        <w:t>SWZ</w:t>
      </w:r>
      <w:r w:rsidRPr="00E05F6B">
        <w:rPr>
          <w:rFonts w:ascii="Times New Roman" w:hAnsi="Times New Roman" w:cs="Times New Roman"/>
          <w:sz w:val="20"/>
          <w:szCs w:val="20"/>
        </w:rPr>
        <w:t xml:space="preserve"> – Specyfikacja Warunków Zamówienia</w:t>
      </w:r>
      <w:r w:rsidR="002E1D52" w:rsidRPr="00E05F6B">
        <w:rPr>
          <w:rFonts w:ascii="Times New Roman" w:hAnsi="Times New Roman" w:cs="Times New Roman"/>
          <w:sz w:val="20"/>
          <w:szCs w:val="20"/>
        </w:rPr>
        <w:t xml:space="preserve"> w postępowaniu o udzielenie zamówienia, numer …...</w:t>
      </w:r>
      <w:r w:rsidR="008C04E9" w:rsidRPr="00E05F6B">
        <w:rPr>
          <w:rFonts w:ascii="Times New Roman" w:hAnsi="Times New Roman" w:cs="Times New Roman"/>
          <w:sz w:val="20"/>
          <w:szCs w:val="20"/>
        </w:rPr>
        <w:t>;</w:t>
      </w:r>
      <w:r w:rsidRPr="00E05F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A8CD9E" w14:textId="77777777" w:rsidR="002B16CA" w:rsidRPr="00E05F6B" w:rsidRDefault="002B16CA" w:rsidP="00A6372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b/>
          <w:sz w:val="20"/>
          <w:szCs w:val="20"/>
        </w:rPr>
        <w:t>P</w:t>
      </w:r>
      <w:r w:rsidR="00CB0083" w:rsidRPr="00E05F6B">
        <w:rPr>
          <w:rFonts w:ascii="Times New Roman" w:hAnsi="Times New Roman" w:cs="Times New Roman"/>
          <w:b/>
          <w:sz w:val="20"/>
          <w:szCs w:val="20"/>
        </w:rPr>
        <w:t>ZP</w:t>
      </w:r>
      <w:r w:rsidRPr="00E05F6B">
        <w:rPr>
          <w:rFonts w:ascii="Times New Roman" w:hAnsi="Times New Roman" w:cs="Times New Roman"/>
          <w:sz w:val="20"/>
          <w:szCs w:val="20"/>
        </w:rPr>
        <w:t xml:space="preserve"> - ustawa z dnia </w:t>
      </w:r>
      <w:r w:rsidR="008C04E9" w:rsidRPr="00E05F6B">
        <w:rPr>
          <w:rFonts w:ascii="Times New Roman" w:hAnsi="Times New Roman" w:cs="Times New Roman"/>
          <w:sz w:val="20"/>
          <w:szCs w:val="20"/>
        </w:rPr>
        <w:t>11 września 2019</w:t>
      </w:r>
      <w:r w:rsidRPr="00E05F6B">
        <w:rPr>
          <w:rFonts w:ascii="Times New Roman" w:hAnsi="Times New Roman" w:cs="Times New Roman"/>
          <w:sz w:val="20"/>
          <w:szCs w:val="20"/>
        </w:rPr>
        <w:t xml:space="preserve"> r. </w:t>
      </w:r>
      <w:r w:rsidR="008C04E9" w:rsidRPr="00E05F6B">
        <w:rPr>
          <w:rFonts w:ascii="Times New Roman" w:hAnsi="Times New Roman" w:cs="Times New Roman"/>
          <w:sz w:val="20"/>
          <w:szCs w:val="20"/>
        </w:rPr>
        <w:t>P</w:t>
      </w:r>
      <w:r w:rsidRPr="00E05F6B">
        <w:rPr>
          <w:rFonts w:ascii="Times New Roman" w:hAnsi="Times New Roman" w:cs="Times New Roman"/>
          <w:sz w:val="20"/>
          <w:szCs w:val="20"/>
        </w:rPr>
        <w:t>rawo zamówień publicznych;</w:t>
      </w:r>
    </w:p>
    <w:p w14:paraId="1BE4EACF" w14:textId="77777777" w:rsidR="002B16CA" w:rsidRPr="00E05F6B" w:rsidRDefault="009B3531" w:rsidP="00A6372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5F6B">
        <w:rPr>
          <w:rFonts w:ascii="Times New Roman" w:hAnsi="Times New Roman" w:cs="Times New Roman"/>
          <w:b/>
          <w:sz w:val="20"/>
          <w:szCs w:val="20"/>
        </w:rPr>
        <w:t>UDUiR</w:t>
      </w:r>
      <w:proofErr w:type="spellEnd"/>
      <w:r w:rsidR="002B16CA" w:rsidRPr="00E05F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16CA" w:rsidRPr="00E05F6B">
        <w:rPr>
          <w:rFonts w:ascii="Times New Roman" w:hAnsi="Times New Roman" w:cs="Times New Roman"/>
          <w:sz w:val="20"/>
          <w:szCs w:val="20"/>
        </w:rPr>
        <w:t>- ustawa z dnia 11 września 2015 r. o działalności ubezpieczeniowej i reasekuracyjnej;</w:t>
      </w:r>
    </w:p>
    <w:p w14:paraId="3810DAD2" w14:textId="77777777" w:rsidR="002B16CA" w:rsidRPr="00E05F6B" w:rsidRDefault="002B16CA" w:rsidP="00A6372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b/>
          <w:sz w:val="20"/>
          <w:szCs w:val="20"/>
        </w:rPr>
        <w:t xml:space="preserve">Wykonawca </w:t>
      </w:r>
      <w:r w:rsidRPr="00E05F6B">
        <w:rPr>
          <w:rFonts w:ascii="Times New Roman" w:hAnsi="Times New Roman" w:cs="Times New Roman"/>
          <w:sz w:val="20"/>
          <w:szCs w:val="20"/>
        </w:rPr>
        <w:t>– Ubezpieczyciel;</w:t>
      </w:r>
    </w:p>
    <w:p w14:paraId="79A77909" w14:textId="77777777" w:rsidR="002B16CA" w:rsidRPr="00E05F6B" w:rsidRDefault="002B16CA" w:rsidP="00A63726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05F6B">
        <w:rPr>
          <w:rFonts w:ascii="Times New Roman" w:hAnsi="Times New Roman" w:cs="Times New Roman"/>
          <w:sz w:val="20"/>
          <w:szCs w:val="20"/>
        </w:rPr>
        <w:t xml:space="preserve"> – Ubezpieczający.</w:t>
      </w:r>
    </w:p>
    <w:p w14:paraId="7FD1701D" w14:textId="77777777" w:rsidR="002B16CA" w:rsidRPr="00E05F6B" w:rsidRDefault="002B16CA" w:rsidP="00C92AF8">
      <w:pPr>
        <w:pStyle w:val="Nagwek1"/>
      </w:pPr>
      <w:r w:rsidRPr="00E05F6B">
        <w:t>§ 2</w:t>
      </w:r>
    </w:p>
    <w:p w14:paraId="20C6F9FB" w14:textId="77777777" w:rsidR="002B16CA" w:rsidRPr="00E05F6B" w:rsidRDefault="002B16CA" w:rsidP="00A637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Przedmiotem Umowy są ubezpieczenia:</w:t>
      </w:r>
    </w:p>
    <w:p w14:paraId="0C70C5F6" w14:textId="77777777" w:rsidR="0055518A" w:rsidRPr="00AE0C10" w:rsidRDefault="0055518A" w:rsidP="00A637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C10">
        <w:rPr>
          <w:rFonts w:ascii="Times New Roman" w:hAnsi="Times New Roman" w:cs="Times New Roman"/>
          <w:bCs/>
          <w:sz w:val="20"/>
          <w:szCs w:val="20"/>
        </w:rPr>
        <w:t>ubezpieczenie mienia od ognia i innych zdarzeń losowych,</w:t>
      </w:r>
    </w:p>
    <w:p w14:paraId="5D67358C" w14:textId="0E0830C2" w:rsidR="0055518A" w:rsidRPr="00AE0C10" w:rsidRDefault="0055518A" w:rsidP="00A637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C10">
        <w:rPr>
          <w:rFonts w:ascii="Times New Roman" w:hAnsi="Times New Roman" w:cs="Times New Roman"/>
          <w:bCs/>
          <w:sz w:val="20"/>
          <w:szCs w:val="20"/>
        </w:rPr>
        <w:t>ubezpieczenia sprzętu elektronicznego oraz oprogramowania, kosztów odtworzenia danych od</w:t>
      </w:r>
      <w:r w:rsidR="00E05F6B" w:rsidRPr="00AE0C10">
        <w:rPr>
          <w:rFonts w:ascii="Times New Roman" w:hAnsi="Times New Roman" w:cs="Times New Roman"/>
          <w:bCs/>
          <w:sz w:val="20"/>
          <w:szCs w:val="20"/>
        </w:rPr>
        <w:t> </w:t>
      </w:r>
      <w:r w:rsidRPr="00AE0C10">
        <w:rPr>
          <w:rFonts w:ascii="Times New Roman" w:hAnsi="Times New Roman" w:cs="Times New Roman"/>
          <w:bCs/>
          <w:sz w:val="20"/>
          <w:szCs w:val="20"/>
        </w:rPr>
        <w:t xml:space="preserve"> wszystkich </w:t>
      </w:r>
      <w:proofErr w:type="spellStart"/>
      <w:r w:rsidRPr="00AE0C10">
        <w:rPr>
          <w:rFonts w:ascii="Times New Roman" w:hAnsi="Times New Roman" w:cs="Times New Roman"/>
          <w:bCs/>
          <w:sz w:val="20"/>
          <w:szCs w:val="20"/>
        </w:rPr>
        <w:t>ryzyk</w:t>
      </w:r>
      <w:proofErr w:type="spellEnd"/>
      <w:r w:rsidRPr="00AE0C10">
        <w:rPr>
          <w:rFonts w:ascii="Times New Roman" w:hAnsi="Times New Roman" w:cs="Times New Roman"/>
          <w:bCs/>
          <w:sz w:val="20"/>
          <w:szCs w:val="20"/>
        </w:rPr>
        <w:t>,</w:t>
      </w:r>
    </w:p>
    <w:p w14:paraId="5B7E2B20" w14:textId="77777777" w:rsidR="0055518A" w:rsidRPr="00AE0C10" w:rsidRDefault="0055518A" w:rsidP="00A637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C10">
        <w:rPr>
          <w:rFonts w:ascii="Times New Roman" w:hAnsi="Times New Roman" w:cs="Times New Roman"/>
          <w:bCs/>
          <w:sz w:val="20"/>
          <w:szCs w:val="20"/>
        </w:rPr>
        <w:t>ubezpieczenia mienia od kradzieży z włamaniem i rabunku, dewastacji (wandalizmu), graffiti,</w:t>
      </w:r>
    </w:p>
    <w:p w14:paraId="124960B7" w14:textId="77777777" w:rsidR="0055518A" w:rsidRPr="00AE0C10" w:rsidRDefault="0055518A" w:rsidP="00A637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E0C10">
        <w:rPr>
          <w:rFonts w:ascii="Times New Roman" w:hAnsi="Times New Roman" w:cs="Times New Roman"/>
          <w:bCs/>
          <w:sz w:val="20"/>
          <w:szCs w:val="20"/>
        </w:rPr>
        <w:t>ubezpieczenie szyb i przedmiotów szklanych od stłuczenia,</w:t>
      </w:r>
    </w:p>
    <w:p w14:paraId="24100A26" w14:textId="77777777" w:rsidR="00973819" w:rsidRPr="00AE0C10" w:rsidRDefault="0055518A" w:rsidP="00A637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C10">
        <w:rPr>
          <w:rFonts w:ascii="Times New Roman" w:hAnsi="Times New Roman" w:cs="Times New Roman"/>
          <w:bCs/>
          <w:sz w:val="20"/>
          <w:szCs w:val="20"/>
        </w:rPr>
        <w:t>ubezpieczenie odpowiedzialności cywilnej</w:t>
      </w:r>
      <w:r w:rsidR="00973819" w:rsidRPr="00AE0C10">
        <w:rPr>
          <w:rFonts w:ascii="Times New Roman" w:hAnsi="Times New Roman" w:cs="Times New Roman"/>
          <w:sz w:val="20"/>
          <w:szCs w:val="20"/>
        </w:rPr>
        <w:t>.</w:t>
      </w:r>
    </w:p>
    <w:p w14:paraId="16621A17" w14:textId="77777777" w:rsidR="00D7632F" w:rsidRPr="00E05F6B" w:rsidRDefault="00D7632F" w:rsidP="00A637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lastRenderedPageBreak/>
        <w:t xml:space="preserve">Przedmiot, warunki i zakres </w:t>
      </w:r>
      <w:r w:rsidR="00973819" w:rsidRPr="00E05F6B">
        <w:rPr>
          <w:rFonts w:ascii="Times New Roman" w:hAnsi="Times New Roman" w:cs="Times New Roman"/>
          <w:sz w:val="20"/>
          <w:szCs w:val="20"/>
        </w:rPr>
        <w:t>ochrony ubezpieczeniowej</w:t>
      </w:r>
      <w:r w:rsidRPr="00E05F6B">
        <w:rPr>
          <w:rFonts w:ascii="Times New Roman" w:hAnsi="Times New Roman" w:cs="Times New Roman"/>
          <w:sz w:val="20"/>
          <w:szCs w:val="20"/>
        </w:rPr>
        <w:t xml:space="preserve">, a także pozostałe postanowienia Umowy określa </w:t>
      </w:r>
      <w:r w:rsidRPr="00E05F6B">
        <w:rPr>
          <w:rFonts w:ascii="Times New Roman" w:hAnsi="Times New Roman" w:cs="Times New Roman"/>
          <w:bCs/>
          <w:sz w:val="20"/>
          <w:szCs w:val="20"/>
        </w:rPr>
        <w:t xml:space="preserve">Załącznik nr 1 do Umowy </w:t>
      </w:r>
      <w:r w:rsidR="006C2AD2" w:rsidRPr="00E05F6B">
        <w:rPr>
          <w:rFonts w:ascii="Times New Roman" w:hAnsi="Times New Roman" w:cs="Times New Roman"/>
          <w:bCs/>
          <w:sz w:val="20"/>
          <w:szCs w:val="20"/>
        </w:rPr>
        <w:t>„Opis przedmiotu zamówienia”</w:t>
      </w:r>
      <w:r w:rsidR="000B41B8" w:rsidRPr="00E05F6B">
        <w:rPr>
          <w:rFonts w:ascii="Times New Roman" w:hAnsi="Times New Roman" w:cs="Times New Roman"/>
          <w:bCs/>
          <w:sz w:val="20"/>
          <w:szCs w:val="20"/>
        </w:rPr>
        <w:t xml:space="preserve">, Załącznik nr 2 do Umowy „Formularz oferty”, Załącznik nr 8 do Umowy „Klauzule dodatkowe” </w:t>
      </w:r>
      <w:r w:rsidRPr="00E05F6B">
        <w:rPr>
          <w:rFonts w:ascii="Times New Roman" w:hAnsi="Times New Roman" w:cs="Times New Roman"/>
          <w:bCs/>
          <w:sz w:val="20"/>
          <w:szCs w:val="20"/>
        </w:rPr>
        <w:t>oraz z zastrzeżeniem postanowień § 4 ust. 3 – ust. 6 Umowy</w:t>
      </w:r>
      <w:r w:rsidR="005279F5" w:rsidRPr="00E05F6B">
        <w:rPr>
          <w:rFonts w:ascii="Times New Roman" w:hAnsi="Times New Roman" w:cs="Times New Roman"/>
          <w:bCs/>
          <w:sz w:val="20"/>
          <w:szCs w:val="20"/>
        </w:rPr>
        <w:t>,</w:t>
      </w:r>
      <w:r w:rsidRPr="00E05F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79F5" w:rsidRPr="00E05F6B">
        <w:rPr>
          <w:rFonts w:ascii="Times New Roman" w:hAnsi="Times New Roman" w:cs="Times New Roman"/>
          <w:bCs/>
          <w:sz w:val="20"/>
          <w:szCs w:val="20"/>
        </w:rPr>
        <w:t>o</w:t>
      </w:r>
      <w:r w:rsidR="006C2AD2" w:rsidRPr="00E05F6B">
        <w:rPr>
          <w:rFonts w:ascii="Times New Roman" w:hAnsi="Times New Roman" w:cs="Times New Roman"/>
          <w:bCs/>
          <w:sz w:val="20"/>
          <w:szCs w:val="20"/>
        </w:rPr>
        <w:t>gólne warunk</w:t>
      </w:r>
      <w:r w:rsidR="005279F5" w:rsidRPr="00E05F6B">
        <w:rPr>
          <w:rFonts w:ascii="Times New Roman" w:hAnsi="Times New Roman" w:cs="Times New Roman"/>
          <w:bCs/>
          <w:sz w:val="20"/>
          <w:szCs w:val="20"/>
        </w:rPr>
        <w:t>i</w:t>
      </w:r>
      <w:r w:rsidR="006C2AD2" w:rsidRPr="00E05F6B">
        <w:rPr>
          <w:rFonts w:ascii="Times New Roman" w:hAnsi="Times New Roman" w:cs="Times New Roman"/>
          <w:bCs/>
          <w:sz w:val="20"/>
          <w:szCs w:val="20"/>
        </w:rPr>
        <w:t xml:space="preserve"> ubezpieczenia</w:t>
      </w:r>
      <w:r w:rsidRPr="00E05F6B">
        <w:rPr>
          <w:rFonts w:ascii="Times New Roman" w:hAnsi="Times New Roman" w:cs="Times New Roman"/>
          <w:bCs/>
          <w:sz w:val="20"/>
          <w:szCs w:val="20"/>
        </w:rPr>
        <w:t>.</w:t>
      </w:r>
      <w:r w:rsidR="00973819" w:rsidRPr="00E05F6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DEE3EF6" w14:textId="77777777" w:rsidR="002B16CA" w:rsidRPr="00E05F6B" w:rsidRDefault="002B16CA" w:rsidP="00C92AF8">
      <w:pPr>
        <w:pStyle w:val="Nagwek1"/>
      </w:pPr>
      <w:r w:rsidRPr="00E05F6B">
        <w:t>§ 3</w:t>
      </w:r>
    </w:p>
    <w:p w14:paraId="4EDDD8A1" w14:textId="505EA905" w:rsidR="00E05F6B" w:rsidRDefault="002B16CA" w:rsidP="00C9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Umowa zawarta zostaje na okres </w:t>
      </w:r>
      <w:r w:rsidR="00057D47" w:rsidRPr="00E05F6B">
        <w:rPr>
          <w:rFonts w:ascii="Times New Roman" w:hAnsi="Times New Roman" w:cs="Times New Roman"/>
          <w:sz w:val="20"/>
          <w:szCs w:val="20"/>
        </w:rPr>
        <w:t xml:space="preserve">ubezpieczenia </w:t>
      </w:r>
      <w:r w:rsidRPr="00E05F6B">
        <w:rPr>
          <w:rFonts w:ascii="Times New Roman" w:hAnsi="Times New Roman" w:cs="Times New Roman"/>
          <w:sz w:val="20"/>
          <w:szCs w:val="20"/>
        </w:rPr>
        <w:t xml:space="preserve">wynoszący </w:t>
      </w:r>
      <w:r w:rsidR="006B30E7" w:rsidRPr="00E05F6B">
        <w:rPr>
          <w:rFonts w:ascii="Times New Roman" w:hAnsi="Times New Roman" w:cs="Times New Roman"/>
          <w:sz w:val="20"/>
          <w:szCs w:val="20"/>
        </w:rPr>
        <w:t>12</w:t>
      </w:r>
      <w:r w:rsidRPr="00E05F6B">
        <w:rPr>
          <w:rFonts w:ascii="Times New Roman" w:hAnsi="Times New Roman" w:cs="Times New Roman"/>
          <w:sz w:val="20"/>
          <w:szCs w:val="20"/>
        </w:rPr>
        <w:t xml:space="preserve"> miesięcy, od dnia </w:t>
      </w:r>
      <w:r w:rsidR="00973819" w:rsidRPr="00E05F6B">
        <w:rPr>
          <w:rFonts w:ascii="Times New Roman" w:hAnsi="Times New Roman" w:cs="Times New Roman"/>
          <w:sz w:val="20"/>
          <w:szCs w:val="20"/>
        </w:rPr>
        <w:t xml:space="preserve">1 </w:t>
      </w:r>
      <w:r w:rsidR="006B30E7" w:rsidRPr="00E05F6B">
        <w:rPr>
          <w:rFonts w:ascii="Times New Roman" w:hAnsi="Times New Roman" w:cs="Times New Roman"/>
          <w:sz w:val="20"/>
          <w:szCs w:val="20"/>
        </w:rPr>
        <w:t>kwietnia</w:t>
      </w:r>
      <w:r w:rsidR="00973819" w:rsidRPr="00E05F6B">
        <w:rPr>
          <w:rFonts w:ascii="Times New Roman" w:hAnsi="Times New Roman" w:cs="Times New Roman"/>
          <w:sz w:val="20"/>
          <w:szCs w:val="20"/>
        </w:rPr>
        <w:t xml:space="preserve"> 2021</w:t>
      </w:r>
      <w:r w:rsidRPr="00E05F6B">
        <w:rPr>
          <w:rFonts w:ascii="Times New Roman" w:hAnsi="Times New Roman" w:cs="Times New Roman"/>
          <w:sz w:val="20"/>
          <w:szCs w:val="20"/>
        </w:rPr>
        <w:t xml:space="preserve"> r. do dnia </w:t>
      </w:r>
      <w:r w:rsidR="006B30E7" w:rsidRPr="00E05F6B">
        <w:rPr>
          <w:rFonts w:ascii="Times New Roman" w:hAnsi="Times New Roman" w:cs="Times New Roman"/>
          <w:sz w:val="20"/>
          <w:szCs w:val="20"/>
        </w:rPr>
        <w:t>31 marca 2021</w:t>
      </w:r>
      <w:r w:rsidR="00973819" w:rsidRPr="00E05F6B">
        <w:rPr>
          <w:rFonts w:ascii="Times New Roman" w:hAnsi="Times New Roman" w:cs="Times New Roman"/>
          <w:sz w:val="20"/>
          <w:szCs w:val="20"/>
        </w:rPr>
        <w:t xml:space="preserve"> r.</w:t>
      </w:r>
      <w:r w:rsidR="00AE53DA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Pr="00E05F6B">
        <w:rPr>
          <w:rFonts w:ascii="Times New Roman" w:hAnsi="Times New Roman" w:cs="Times New Roman"/>
          <w:sz w:val="20"/>
          <w:szCs w:val="20"/>
        </w:rPr>
        <w:t>(</w:t>
      </w:r>
      <w:r w:rsidR="00A63726" w:rsidRPr="00E05F6B">
        <w:rPr>
          <w:rFonts w:ascii="Times New Roman" w:hAnsi="Times New Roman" w:cs="Times New Roman"/>
          <w:sz w:val="20"/>
          <w:szCs w:val="20"/>
        </w:rPr>
        <w:t xml:space="preserve">zwanym </w:t>
      </w:r>
      <w:r w:rsidRPr="00E05F6B">
        <w:rPr>
          <w:rFonts w:ascii="Times New Roman" w:hAnsi="Times New Roman" w:cs="Times New Roman"/>
          <w:sz w:val="20"/>
          <w:szCs w:val="20"/>
        </w:rPr>
        <w:t>dalej</w:t>
      </w:r>
      <w:r w:rsidR="00A63726" w:rsidRPr="00E05F6B">
        <w:rPr>
          <w:rFonts w:ascii="Times New Roman" w:hAnsi="Times New Roman" w:cs="Times New Roman"/>
          <w:sz w:val="20"/>
          <w:szCs w:val="20"/>
        </w:rPr>
        <w:t xml:space="preserve"> również</w:t>
      </w:r>
      <w:r w:rsidRPr="00E05F6B">
        <w:rPr>
          <w:rFonts w:ascii="Times New Roman" w:hAnsi="Times New Roman" w:cs="Times New Roman"/>
          <w:sz w:val="20"/>
          <w:szCs w:val="20"/>
        </w:rPr>
        <w:t xml:space="preserve"> jako „</w:t>
      </w:r>
      <w:r w:rsidRPr="00E05F6B">
        <w:rPr>
          <w:rFonts w:ascii="Times New Roman" w:hAnsi="Times New Roman" w:cs="Times New Roman"/>
          <w:b/>
          <w:sz w:val="20"/>
          <w:szCs w:val="20"/>
        </w:rPr>
        <w:t xml:space="preserve">Okres </w:t>
      </w:r>
      <w:r w:rsidR="00973819" w:rsidRPr="00E05F6B">
        <w:rPr>
          <w:rFonts w:ascii="Times New Roman" w:hAnsi="Times New Roman" w:cs="Times New Roman"/>
          <w:b/>
          <w:sz w:val="20"/>
          <w:szCs w:val="20"/>
        </w:rPr>
        <w:t>Obowiązywania Umowy</w:t>
      </w:r>
      <w:r w:rsidRPr="00E05F6B">
        <w:rPr>
          <w:rFonts w:ascii="Times New Roman" w:hAnsi="Times New Roman" w:cs="Times New Roman"/>
          <w:b/>
          <w:sz w:val="20"/>
          <w:szCs w:val="20"/>
        </w:rPr>
        <w:t>”</w:t>
      </w:r>
      <w:r w:rsidRPr="00E05F6B">
        <w:rPr>
          <w:rFonts w:ascii="Times New Roman" w:hAnsi="Times New Roman" w:cs="Times New Roman"/>
          <w:sz w:val="20"/>
          <w:szCs w:val="20"/>
        </w:rPr>
        <w:t>)</w:t>
      </w:r>
      <w:r w:rsidR="009A38EF" w:rsidRPr="00E05F6B">
        <w:rPr>
          <w:rFonts w:ascii="Times New Roman" w:hAnsi="Times New Roman" w:cs="Times New Roman"/>
          <w:sz w:val="20"/>
          <w:szCs w:val="20"/>
        </w:rPr>
        <w:t>.</w:t>
      </w:r>
    </w:p>
    <w:p w14:paraId="4AA92C54" w14:textId="77777777" w:rsidR="002B16CA" w:rsidRPr="00E05F6B" w:rsidRDefault="002B16CA" w:rsidP="00C92AF8">
      <w:pPr>
        <w:pStyle w:val="Nagwek1"/>
      </w:pPr>
      <w:r w:rsidRPr="00E05F6B">
        <w:t>§ 4</w:t>
      </w:r>
    </w:p>
    <w:p w14:paraId="571664C9" w14:textId="77777777" w:rsidR="002B16CA" w:rsidRPr="00E05F6B" w:rsidRDefault="002B16CA" w:rsidP="00A63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Do Umowy, w zakresie w niej nieuregulowanym, będą miały zastosowanie </w:t>
      </w:r>
      <w:r w:rsidR="00CB0083" w:rsidRPr="00E05F6B">
        <w:rPr>
          <w:rFonts w:ascii="Times New Roman" w:hAnsi="Times New Roman" w:cs="Times New Roman"/>
          <w:sz w:val="20"/>
          <w:szCs w:val="20"/>
        </w:rPr>
        <w:t>o</w:t>
      </w:r>
      <w:r w:rsidRPr="00E05F6B">
        <w:rPr>
          <w:rFonts w:ascii="Times New Roman" w:hAnsi="Times New Roman" w:cs="Times New Roman"/>
          <w:sz w:val="20"/>
          <w:szCs w:val="20"/>
        </w:rPr>
        <w:t xml:space="preserve">gólne warunki ubezpieczenia wskazane w ofercie Ubezpieczyciela, to jest: </w:t>
      </w:r>
    </w:p>
    <w:p w14:paraId="11255DCC" w14:textId="77777777" w:rsidR="002B16CA" w:rsidRPr="00E05F6B" w:rsidRDefault="002B16CA" w:rsidP="00A637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dla ubezpieczenia </w:t>
      </w:r>
      <w:r w:rsidR="00954814" w:rsidRPr="00E05F6B">
        <w:rPr>
          <w:rFonts w:ascii="Times New Roman" w:hAnsi="Times New Roman" w:cs="Times New Roman"/>
          <w:sz w:val="20"/>
          <w:szCs w:val="20"/>
        </w:rPr>
        <w:t>mienia od ognia i innych zdarzeń losowych</w:t>
      </w:r>
      <w:r w:rsidRPr="00E05F6B">
        <w:rPr>
          <w:rFonts w:ascii="Times New Roman" w:hAnsi="Times New Roman" w:cs="Times New Roman"/>
          <w:sz w:val="20"/>
          <w:szCs w:val="20"/>
        </w:rPr>
        <w:t>:</w:t>
      </w:r>
    </w:p>
    <w:p w14:paraId="618C085D" w14:textId="77777777" w:rsidR="002B16CA" w:rsidRPr="00E05F6B" w:rsidRDefault="002B16CA" w:rsidP="00A63726">
      <w:pPr>
        <w:pStyle w:val="Akapitzlist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</w:t>
      </w:r>
      <w:r w:rsidR="005279F5" w:rsidRPr="00E05F6B">
        <w:rPr>
          <w:rFonts w:ascii="Times New Roman" w:hAnsi="Times New Roman" w:cs="Times New Roman"/>
          <w:sz w:val="20"/>
          <w:szCs w:val="20"/>
        </w:rPr>
        <w:t xml:space="preserve"> stanowiące Załącznik nr 3 do Umowy</w:t>
      </w:r>
      <w:r w:rsidR="00484DDF" w:rsidRPr="00E05F6B">
        <w:rPr>
          <w:rFonts w:ascii="Times New Roman" w:hAnsi="Times New Roman" w:cs="Times New Roman"/>
          <w:sz w:val="20"/>
          <w:szCs w:val="20"/>
        </w:rPr>
        <w:t>,</w:t>
      </w:r>
    </w:p>
    <w:p w14:paraId="5429CCE6" w14:textId="77777777" w:rsidR="002B16CA" w:rsidRPr="00E05F6B" w:rsidRDefault="002B16CA" w:rsidP="00A637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dla ubezpieczenia 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sprzętu elektronicznego oraz oprogramowania, kosztów odtworzenia danych od wszystkich </w:t>
      </w:r>
      <w:proofErr w:type="spellStart"/>
      <w:r w:rsidR="00954814" w:rsidRPr="00E05F6B">
        <w:rPr>
          <w:rFonts w:ascii="Times New Roman" w:hAnsi="Times New Roman" w:cs="Times New Roman"/>
          <w:sz w:val="20"/>
          <w:szCs w:val="20"/>
        </w:rPr>
        <w:t>ryzyk</w:t>
      </w:r>
      <w:proofErr w:type="spellEnd"/>
      <w:r w:rsidRPr="00E05F6B">
        <w:rPr>
          <w:rFonts w:ascii="Times New Roman" w:hAnsi="Times New Roman" w:cs="Times New Roman"/>
          <w:sz w:val="20"/>
          <w:szCs w:val="20"/>
        </w:rPr>
        <w:t>:</w:t>
      </w:r>
    </w:p>
    <w:p w14:paraId="62A669B8" w14:textId="77777777" w:rsidR="002B16CA" w:rsidRPr="00E05F6B" w:rsidRDefault="002B16CA" w:rsidP="00A63726">
      <w:pPr>
        <w:pStyle w:val="Akapitzlist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</w:t>
      </w:r>
      <w:r w:rsidR="005279F5" w:rsidRPr="00E05F6B">
        <w:rPr>
          <w:rFonts w:ascii="Times New Roman" w:hAnsi="Times New Roman" w:cs="Times New Roman"/>
          <w:sz w:val="20"/>
          <w:szCs w:val="20"/>
        </w:rPr>
        <w:t xml:space="preserve"> stanowiące Załącznik nr 4 do Umowy</w:t>
      </w:r>
      <w:r w:rsidR="00484DDF" w:rsidRPr="00E05F6B">
        <w:rPr>
          <w:rFonts w:ascii="Times New Roman" w:hAnsi="Times New Roman" w:cs="Times New Roman"/>
          <w:sz w:val="20"/>
          <w:szCs w:val="20"/>
        </w:rPr>
        <w:t>,</w:t>
      </w:r>
    </w:p>
    <w:p w14:paraId="2532B3B4" w14:textId="77777777" w:rsidR="00484DDF" w:rsidRPr="00E05F6B" w:rsidRDefault="00484DDF" w:rsidP="00A637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dla ubezpieczenia </w:t>
      </w:r>
      <w:r w:rsidR="00954814" w:rsidRPr="00E05F6B">
        <w:rPr>
          <w:rFonts w:ascii="Times New Roman" w:hAnsi="Times New Roman" w:cs="Times New Roman"/>
          <w:sz w:val="20"/>
          <w:szCs w:val="20"/>
        </w:rPr>
        <w:t>mienia od kradzieży z włamaniem i rabunku, dewastacji (wandalizmu), graffiti</w:t>
      </w:r>
      <w:r w:rsidRPr="00E05F6B">
        <w:rPr>
          <w:rFonts w:ascii="Times New Roman" w:hAnsi="Times New Roman" w:cs="Times New Roman"/>
          <w:sz w:val="20"/>
          <w:szCs w:val="20"/>
        </w:rPr>
        <w:t>:</w:t>
      </w:r>
    </w:p>
    <w:p w14:paraId="2524BD89" w14:textId="77777777" w:rsidR="00484DDF" w:rsidRPr="00E05F6B" w:rsidRDefault="00484DDF" w:rsidP="00A637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 stanowiące Załącznik nr 5 do Umowy,</w:t>
      </w:r>
    </w:p>
    <w:p w14:paraId="0D87ECA4" w14:textId="77777777" w:rsidR="00954814" w:rsidRPr="00E05F6B" w:rsidRDefault="00954814" w:rsidP="00A637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dla ubezpieczenia szyb i przedmiotów szklanych od stłuczenia:</w:t>
      </w:r>
    </w:p>
    <w:p w14:paraId="328E0813" w14:textId="77777777" w:rsidR="00954814" w:rsidRPr="00E05F6B" w:rsidRDefault="00954814" w:rsidP="00A637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 stanowiące Załącznik nr 6 do Umowy,</w:t>
      </w:r>
    </w:p>
    <w:p w14:paraId="0DD89919" w14:textId="77777777" w:rsidR="00954814" w:rsidRPr="00E05F6B" w:rsidRDefault="00954814" w:rsidP="00A637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dla ubezpieczenia odpowiedzialności cywilnej:</w:t>
      </w:r>
    </w:p>
    <w:p w14:paraId="4975FF8A" w14:textId="2D95B7F0" w:rsidR="00954814" w:rsidRPr="00E05F6B" w:rsidRDefault="00E05F6B" w:rsidP="00A637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</w:t>
      </w:r>
      <w:r w:rsidR="00954814" w:rsidRPr="00E05F6B">
        <w:rPr>
          <w:rFonts w:ascii="Times New Roman" w:hAnsi="Times New Roman" w:cs="Times New Roman"/>
          <w:sz w:val="20"/>
          <w:szCs w:val="20"/>
        </w:rPr>
        <w:t>………………..……………………………………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="00AE0C10">
        <w:rPr>
          <w:rFonts w:ascii="Times New Roman" w:hAnsi="Times New Roman" w:cs="Times New Roman"/>
          <w:sz w:val="20"/>
          <w:szCs w:val="20"/>
        </w:rPr>
        <w:t>…………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 stanowiące Załącznik nr 7 do</w:t>
      </w:r>
      <w:r w:rsidR="00AE0C10">
        <w:rPr>
          <w:rFonts w:ascii="Times New Roman" w:hAnsi="Times New Roman" w:cs="Times New Roman"/>
          <w:sz w:val="20"/>
          <w:szCs w:val="20"/>
        </w:rPr>
        <w:t> 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 Umowy.</w:t>
      </w:r>
    </w:p>
    <w:p w14:paraId="4ED93875" w14:textId="77777777" w:rsidR="002B16CA" w:rsidRPr="00E05F6B" w:rsidRDefault="002B16CA" w:rsidP="00A63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Do Umowy będą miały zastosowanie Klauzule </w:t>
      </w:r>
      <w:r w:rsidR="008C44B3" w:rsidRPr="00E05F6B">
        <w:rPr>
          <w:rFonts w:ascii="Times New Roman" w:hAnsi="Times New Roman" w:cs="Times New Roman"/>
          <w:sz w:val="20"/>
          <w:szCs w:val="20"/>
        </w:rPr>
        <w:t xml:space="preserve">fakultatywne </w:t>
      </w:r>
      <w:r w:rsidR="006F33A0" w:rsidRPr="00E05F6B">
        <w:rPr>
          <w:rFonts w:ascii="Times New Roman" w:hAnsi="Times New Roman" w:cs="Times New Roman"/>
          <w:sz w:val="20"/>
          <w:szCs w:val="20"/>
        </w:rPr>
        <w:t xml:space="preserve">i/lub franszyzy/udziały własne, </w:t>
      </w:r>
      <w:r w:rsidRPr="00E05F6B">
        <w:rPr>
          <w:rFonts w:ascii="Times New Roman" w:hAnsi="Times New Roman" w:cs="Times New Roman"/>
          <w:sz w:val="20"/>
          <w:szCs w:val="20"/>
        </w:rPr>
        <w:t xml:space="preserve">wskazane </w:t>
      </w:r>
      <w:r w:rsidR="00057D47" w:rsidRPr="00E05F6B">
        <w:rPr>
          <w:rFonts w:ascii="Times New Roman" w:hAnsi="Times New Roman" w:cs="Times New Roman"/>
          <w:sz w:val="20"/>
          <w:szCs w:val="20"/>
        </w:rPr>
        <w:t xml:space="preserve">przez Ubezpieczyciela </w:t>
      </w:r>
      <w:r w:rsidRPr="00E05F6B">
        <w:rPr>
          <w:rFonts w:ascii="Times New Roman" w:hAnsi="Times New Roman" w:cs="Times New Roman"/>
          <w:sz w:val="20"/>
          <w:szCs w:val="20"/>
        </w:rPr>
        <w:t>w</w:t>
      </w:r>
      <w:r w:rsidR="006F33A0" w:rsidRPr="00E05F6B">
        <w:rPr>
          <w:rFonts w:ascii="Times New Roman" w:hAnsi="Times New Roman" w:cs="Times New Roman"/>
          <w:sz w:val="20"/>
          <w:szCs w:val="20"/>
        </w:rPr>
        <w:t xml:space="preserve"> Załączniku nr </w:t>
      </w:r>
      <w:r w:rsidR="00954814" w:rsidRPr="00E05F6B">
        <w:rPr>
          <w:rFonts w:ascii="Times New Roman" w:hAnsi="Times New Roman" w:cs="Times New Roman"/>
          <w:sz w:val="20"/>
          <w:szCs w:val="20"/>
        </w:rPr>
        <w:t>2</w:t>
      </w:r>
      <w:r w:rsidR="006F33A0" w:rsidRPr="00E05F6B">
        <w:rPr>
          <w:rFonts w:ascii="Times New Roman" w:hAnsi="Times New Roman" w:cs="Times New Roman"/>
          <w:sz w:val="20"/>
          <w:szCs w:val="20"/>
        </w:rPr>
        <w:t xml:space="preserve"> do Umowy „Formularz oferty”.</w:t>
      </w:r>
    </w:p>
    <w:p w14:paraId="7E57CCD9" w14:textId="77777777" w:rsidR="002B16CA" w:rsidRPr="00E05F6B" w:rsidRDefault="002B16CA" w:rsidP="00A63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Postanowienia Umowy (w tym postanowienia Klauzul </w:t>
      </w:r>
      <w:r w:rsidR="005279F5" w:rsidRPr="00E05F6B">
        <w:rPr>
          <w:rFonts w:ascii="Times New Roman" w:hAnsi="Times New Roman" w:cs="Times New Roman"/>
          <w:sz w:val="20"/>
          <w:szCs w:val="20"/>
        </w:rPr>
        <w:t>fakultatywnych</w:t>
      </w:r>
      <w:r w:rsidRPr="00E05F6B">
        <w:rPr>
          <w:rFonts w:ascii="Times New Roman" w:hAnsi="Times New Roman" w:cs="Times New Roman"/>
          <w:sz w:val="20"/>
          <w:szCs w:val="20"/>
        </w:rPr>
        <w:t xml:space="preserve">) i SWZ mają pierwszeństwo przed postanowieniami zawartymi w ogólnych warunkach ubezpieczenia. </w:t>
      </w:r>
    </w:p>
    <w:p w14:paraId="095A93B3" w14:textId="286A421D" w:rsidR="002B16CA" w:rsidRPr="00E05F6B" w:rsidRDefault="002B16CA" w:rsidP="00A63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Ustala się, że w razie rozbieżności pomiędzy postanowieniami Umowy (w tym postanowieniami Klauzul </w:t>
      </w:r>
      <w:r w:rsidR="005279F5" w:rsidRPr="00E05F6B">
        <w:rPr>
          <w:rFonts w:ascii="Times New Roman" w:hAnsi="Times New Roman" w:cs="Times New Roman"/>
          <w:sz w:val="20"/>
          <w:szCs w:val="20"/>
        </w:rPr>
        <w:t>fakultatywnych</w:t>
      </w:r>
      <w:r w:rsidRPr="00E05F6B">
        <w:rPr>
          <w:rFonts w:ascii="Times New Roman" w:hAnsi="Times New Roman" w:cs="Times New Roman"/>
          <w:sz w:val="20"/>
          <w:szCs w:val="20"/>
        </w:rPr>
        <w:t xml:space="preserve">), SWZ, ogólnymi warunkami ubezpieczenia, zastosowanie znajdą te postanowienia, które są korzystniejsze dla Ubezpieczającego </w:t>
      </w:r>
      <w:r w:rsidR="00896B2B">
        <w:rPr>
          <w:rFonts w:ascii="Times New Roman" w:hAnsi="Times New Roman" w:cs="Times New Roman"/>
          <w:sz w:val="20"/>
          <w:szCs w:val="20"/>
        </w:rPr>
        <w:t>lub</w:t>
      </w:r>
      <w:r w:rsidRPr="00E05F6B">
        <w:rPr>
          <w:rFonts w:ascii="Times New Roman" w:hAnsi="Times New Roman" w:cs="Times New Roman"/>
          <w:sz w:val="20"/>
          <w:szCs w:val="20"/>
        </w:rPr>
        <w:t xml:space="preserve"> Ubezpieczonego.</w:t>
      </w:r>
    </w:p>
    <w:p w14:paraId="72E0FF09" w14:textId="039789D7" w:rsidR="002B16CA" w:rsidRPr="00E05F6B" w:rsidRDefault="002B16CA" w:rsidP="00A63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W przypadku, w którym niemożliwa lub utrudniona jest ocena, które postanowienia są korzyst</w:t>
      </w:r>
      <w:r w:rsidR="00272E71" w:rsidRPr="00E05F6B">
        <w:rPr>
          <w:rFonts w:ascii="Times New Roman" w:hAnsi="Times New Roman" w:cs="Times New Roman"/>
          <w:sz w:val="20"/>
          <w:szCs w:val="20"/>
        </w:rPr>
        <w:t>niejsze dla</w:t>
      </w:r>
      <w:r w:rsidR="00E05F6B" w:rsidRPr="00E05F6B">
        <w:rPr>
          <w:rFonts w:ascii="Times New Roman" w:hAnsi="Times New Roman" w:cs="Times New Roman"/>
          <w:sz w:val="20"/>
          <w:szCs w:val="20"/>
        </w:rPr>
        <w:t> </w:t>
      </w:r>
      <w:r w:rsidR="00272E71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="00BE6811" w:rsidRPr="00E05F6B">
        <w:rPr>
          <w:rFonts w:ascii="Times New Roman" w:hAnsi="Times New Roman" w:cs="Times New Roman"/>
          <w:sz w:val="20"/>
          <w:szCs w:val="20"/>
        </w:rPr>
        <w:t>Ubezpieczającego lub</w:t>
      </w:r>
      <w:r w:rsidRPr="00E05F6B">
        <w:rPr>
          <w:rFonts w:ascii="Times New Roman" w:hAnsi="Times New Roman" w:cs="Times New Roman"/>
          <w:sz w:val="20"/>
          <w:szCs w:val="20"/>
        </w:rPr>
        <w:t xml:space="preserve"> Ubezpieczonego, Ubezpieczający jest uprawniony do dokonania wyboru pomiędzy treścią ogólnych warunków ubezpieczenia mających zastosowanie do Umowy, postanowieniami Umowy w pozostałej części (w tym postanowieniami Klauzul </w:t>
      </w:r>
      <w:r w:rsidR="005279F5" w:rsidRPr="00E05F6B">
        <w:rPr>
          <w:rFonts w:ascii="Times New Roman" w:hAnsi="Times New Roman" w:cs="Times New Roman"/>
          <w:sz w:val="20"/>
          <w:szCs w:val="20"/>
        </w:rPr>
        <w:t>fakultatywnych</w:t>
      </w:r>
      <w:r w:rsidRPr="00E05F6B">
        <w:rPr>
          <w:rFonts w:ascii="Times New Roman" w:hAnsi="Times New Roman" w:cs="Times New Roman"/>
          <w:sz w:val="20"/>
          <w:szCs w:val="20"/>
        </w:rPr>
        <w:t xml:space="preserve">) i treścią SWZ. </w:t>
      </w:r>
    </w:p>
    <w:p w14:paraId="3CA4E146" w14:textId="67AF4A69" w:rsidR="002B16CA" w:rsidRPr="00E05F6B" w:rsidRDefault="002B16CA" w:rsidP="00A6372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W przypadku, gdy jedynie część treści danego postanowienia jest korzystniejsza dla Ubezpieczającego </w:t>
      </w:r>
      <w:r w:rsidR="00896B2B">
        <w:rPr>
          <w:rFonts w:ascii="Times New Roman" w:hAnsi="Times New Roman" w:cs="Times New Roman"/>
          <w:sz w:val="20"/>
          <w:szCs w:val="20"/>
        </w:rPr>
        <w:t>lub</w:t>
      </w:r>
      <w:bookmarkStart w:id="0" w:name="_GoBack"/>
      <w:bookmarkEnd w:id="0"/>
      <w:r w:rsidRPr="00E05F6B">
        <w:rPr>
          <w:rFonts w:ascii="Times New Roman" w:hAnsi="Times New Roman" w:cs="Times New Roman"/>
          <w:sz w:val="20"/>
          <w:szCs w:val="20"/>
        </w:rPr>
        <w:t xml:space="preserve"> Ubezpieczonego, część ta stanowi treść umowy ubezpieczenia, a w pozostałym zakresie obowiązują zapisy ogólnych warunków ubezpieczenia mających zastosowanie do Umowy, postanowienia Umowy (w tym Klauzul </w:t>
      </w:r>
      <w:r w:rsidR="005279F5" w:rsidRPr="00E05F6B">
        <w:rPr>
          <w:rFonts w:ascii="Times New Roman" w:hAnsi="Times New Roman" w:cs="Times New Roman"/>
          <w:sz w:val="20"/>
          <w:szCs w:val="20"/>
        </w:rPr>
        <w:t>fakultatywnyc</w:t>
      </w:r>
      <w:r w:rsidRPr="00E05F6B">
        <w:rPr>
          <w:rFonts w:ascii="Times New Roman" w:hAnsi="Times New Roman" w:cs="Times New Roman"/>
          <w:sz w:val="20"/>
          <w:szCs w:val="20"/>
        </w:rPr>
        <w:t>h) i SWZ w pozostałej części, które nie są z tymi postanowieniami sprzeczne.</w:t>
      </w:r>
    </w:p>
    <w:p w14:paraId="1F32F692" w14:textId="77777777" w:rsidR="002B16CA" w:rsidRPr="00E05F6B" w:rsidRDefault="002B16CA" w:rsidP="00C92AF8">
      <w:pPr>
        <w:pStyle w:val="Nagwek1"/>
      </w:pPr>
      <w:r w:rsidRPr="00E05F6B">
        <w:t>§ 5</w:t>
      </w:r>
    </w:p>
    <w:p w14:paraId="0129F85D" w14:textId="678FAF88" w:rsidR="004229A7" w:rsidRPr="00E05F6B" w:rsidRDefault="002B16CA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Z zastrzeżeniem postanowień § 5 ust. 2 – ust. </w:t>
      </w:r>
      <w:r w:rsidR="001C3AD4" w:rsidRPr="00E05F6B">
        <w:rPr>
          <w:rFonts w:ascii="Times New Roman" w:hAnsi="Times New Roman" w:cs="Times New Roman"/>
          <w:sz w:val="20"/>
          <w:szCs w:val="20"/>
        </w:rPr>
        <w:t>8</w:t>
      </w:r>
      <w:r w:rsidRPr="00E05F6B">
        <w:rPr>
          <w:rFonts w:ascii="Times New Roman" w:hAnsi="Times New Roman" w:cs="Times New Roman"/>
          <w:sz w:val="20"/>
          <w:szCs w:val="20"/>
        </w:rPr>
        <w:t xml:space="preserve">, </w:t>
      </w:r>
      <w:r w:rsidR="00484DDF" w:rsidRPr="00E05F6B">
        <w:rPr>
          <w:rFonts w:ascii="Times New Roman" w:hAnsi="Times New Roman" w:cs="Times New Roman"/>
          <w:sz w:val="20"/>
          <w:szCs w:val="20"/>
        </w:rPr>
        <w:t xml:space="preserve">łączna </w:t>
      </w:r>
      <w:r w:rsidR="00810624" w:rsidRPr="00E05F6B">
        <w:rPr>
          <w:rFonts w:ascii="Times New Roman" w:hAnsi="Times New Roman" w:cs="Times New Roman"/>
          <w:sz w:val="20"/>
          <w:szCs w:val="20"/>
        </w:rPr>
        <w:t>składka ubezpieczeniowa stanowiąca wynagrodzenie Ubezpieczyciela należne</w:t>
      </w:r>
      <w:r w:rsidRPr="00E05F6B">
        <w:rPr>
          <w:rFonts w:ascii="Times New Roman" w:hAnsi="Times New Roman" w:cs="Times New Roman"/>
          <w:sz w:val="20"/>
          <w:szCs w:val="20"/>
        </w:rPr>
        <w:t xml:space="preserve"> z tytułu </w:t>
      </w:r>
      <w:r w:rsidR="00FA66A3" w:rsidRPr="00E05F6B">
        <w:rPr>
          <w:rFonts w:ascii="Times New Roman" w:hAnsi="Times New Roman" w:cs="Times New Roman"/>
          <w:sz w:val="20"/>
          <w:szCs w:val="20"/>
        </w:rPr>
        <w:t>Umowy</w:t>
      </w:r>
      <w:r w:rsidRPr="00E05F6B">
        <w:rPr>
          <w:rFonts w:ascii="Times New Roman" w:hAnsi="Times New Roman" w:cs="Times New Roman"/>
          <w:sz w:val="20"/>
          <w:szCs w:val="20"/>
        </w:rPr>
        <w:t xml:space="preserve">, </w:t>
      </w:r>
      <w:r w:rsidR="004229A7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wynosi</w:t>
      </w:r>
      <w:r w:rsidR="004229A7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Pr="00E05F6B">
        <w:rPr>
          <w:rFonts w:ascii="Times New Roman" w:hAnsi="Times New Roman" w:cs="Times New Roman"/>
          <w:sz w:val="20"/>
          <w:szCs w:val="20"/>
        </w:rPr>
        <w:t>k</w:t>
      </w:r>
      <w:r w:rsidR="004229A7" w:rsidRPr="00E05F6B">
        <w:rPr>
          <w:rFonts w:ascii="Times New Roman" w:hAnsi="Times New Roman" w:cs="Times New Roman"/>
          <w:sz w:val="20"/>
          <w:szCs w:val="20"/>
        </w:rPr>
        <w:t>wotę</w:t>
      </w:r>
      <w:r w:rsidRPr="00E05F6B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……………………………………………………. (słownie: ………………………………………. złotych …………….groszy)</w:t>
      </w:r>
      <w:r w:rsidR="00484DDF" w:rsidRPr="00E05F6B">
        <w:rPr>
          <w:rFonts w:ascii="Times New Roman" w:hAnsi="Times New Roman" w:cs="Times New Roman"/>
          <w:sz w:val="20"/>
          <w:szCs w:val="20"/>
        </w:rPr>
        <w:t xml:space="preserve"> i została określona zgodnie z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484DDF" w:rsidRPr="00E05F6B">
        <w:rPr>
          <w:rFonts w:ascii="Times New Roman" w:hAnsi="Times New Roman" w:cs="Times New Roman"/>
          <w:sz w:val="20"/>
          <w:szCs w:val="20"/>
        </w:rPr>
        <w:t xml:space="preserve"> ceną ofertową wskazaną w ofercie Ubezpieczyciela. </w:t>
      </w:r>
    </w:p>
    <w:p w14:paraId="4229B98A" w14:textId="0E4DD79D" w:rsidR="00954814" w:rsidRPr="00E05F6B" w:rsidRDefault="00954814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Łączna s</w:t>
      </w:r>
      <w:r w:rsidR="00831118" w:rsidRPr="00E05F6B">
        <w:rPr>
          <w:rFonts w:ascii="Times New Roman" w:hAnsi="Times New Roman" w:cs="Times New Roman"/>
          <w:sz w:val="20"/>
          <w:szCs w:val="20"/>
        </w:rPr>
        <w:t xml:space="preserve">kładka ubezpieczeniowa, o której mowa w § 5 ust. 1, zostanie </w:t>
      </w:r>
      <w:r w:rsidR="00EE2DAA" w:rsidRPr="00E05F6B">
        <w:rPr>
          <w:rFonts w:ascii="Times New Roman" w:hAnsi="Times New Roman" w:cs="Times New Roman"/>
          <w:sz w:val="20"/>
          <w:szCs w:val="20"/>
        </w:rPr>
        <w:t>zapłacona w formie bezgotówkowej</w:t>
      </w:r>
      <w:r w:rsidR="00C17460" w:rsidRPr="00E05F6B">
        <w:rPr>
          <w:rFonts w:ascii="Times New Roman" w:hAnsi="Times New Roman" w:cs="Times New Roman"/>
          <w:sz w:val="20"/>
          <w:szCs w:val="20"/>
        </w:rPr>
        <w:t xml:space="preserve">, </w:t>
      </w:r>
      <w:r w:rsidR="00831118" w:rsidRPr="00E05F6B">
        <w:rPr>
          <w:rFonts w:ascii="Times New Roman" w:hAnsi="Times New Roman" w:cs="Times New Roman"/>
          <w:sz w:val="20"/>
          <w:szCs w:val="20"/>
        </w:rPr>
        <w:t>w terminach i wysokościach oraz na konto bankowe Ubezpieczyciela, które zostaną wskazane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831118" w:rsidRPr="00E05F6B">
        <w:rPr>
          <w:rFonts w:ascii="Times New Roman" w:hAnsi="Times New Roman" w:cs="Times New Roman"/>
          <w:sz w:val="20"/>
          <w:szCs w:val="20"/>
        </w:rPr>
        <w:t xml:space="preserve"> dokumentach ubezpieczenia wystawionych przez Ubezpieczyciel</w:t>
      </w:r>
      <w:r w:rsidR="005279F5" w:rsidRPr="00E05F6B">
        <w:rPr>
          <w:rFonts w:ascii="Times New Roman" w:hAnsi="Times New Roman" w:cs="Times New Roman"/>
          <w:sz w:val="20"/>
          <w:szCs w:val="20"/>
        </w:rPr>
        <w:t>a</w:t>
      </w:r>
      <w:r w:rsidR="00831118" w:rsidRPr="00E05F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BFADFD" w14:textId="7692B3AB" w:rsidR="00954814" w:rsidRPr="00E05F6B" w:rsidRDefault="00954814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Ubezpieczyciel wystawi dokument ubezpieczenia np. polisę(-)y ubezpieczeniową(-e) potwierdzające zawarcie Umowy (umowy ubezpieczenia) oraz łączną składkę ubezpieczeniową/składkę ubezpieczeniową należną za udzielaną ochronę ubezpieczeniową w ramach Umowy, w tym za poszczególne ubezpieczenia, o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których mowa w § 2 ust. 1. Jeżeli w Okresie Obowiązywania Umowy, nastąpią zmiany danych zawartych </w:t>
      </w:r>
      <w:r w:rsidRPr="00E05F6B">
        <w:rPr>
          <w:rFonts w:ascii="Times New Roman" w:hAnsi="Times New Roman" w:cs="Times New Roman"/>
          <w:sz w:val="20"/>
          <w:szCs w:val="20"/>
        </w:rPr>
        <w:lastRenderedPageBreak/>
        <w:t>w dokumencie ubezpieczenia, np. w wartościach sum ubezpieczenia (sum gwarancyjnych), limitów lub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5F6B">
        <w:rPr>
          <w:rFonts w:ascii="Times New Roman" w:hAnsi="Times New Roman" w:cs="Times New Roman"/>
          <w:sz w:val="20"/>
          <w:szCs w:val="20"/>
        </w:rPr>
        <w:t>podlimitów</w:t>
      </w:r>
      <w:proofErr w:type="spellEnd"/>
      <w:r w:rsidRPr="00E05F6B">
        <w:rPr>
          <w:rFonts w:ascii="Times New Roman" w:hAnsi="Times New Roman" w:cs="Times New Roman"/>
          <w:sz w:val="20"/>
          <w:szCs w:val="20"/>
        </w:rPr>
        <w:t xml:space="preserve"> odpowiedzialności, wysokości należnej Ubezpieczycielowi składki ubezpieczeniowej, Ubezpieczyciel zobowiązany jest, na wniosek Ubezpieczającego, wystawić aneks do danej polisy ubezpieczenia oraz doręczyć go niezwłocznie Ubezpieczającemu, zgodnie z postanowieniami Umowy.</w:t>
      </w:r>
    </w:p>
    <w:p w14:paraId="35829376" w14:textId="77777777" w:rsidR="00954814" w:rsidRPr="00E05F6B" w:rsidRDefault="00EE2DAA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Za dzień zapłaty uważa się dzień uznania rachunku Ubezpieczającego.</w:t>
      </w:r>
    </w:p>
    <w:p w14:paraId="6D5FD375" w14:textId="77777777" w:rsidR="00954814" w:rsidRPr="00E05F6B" w:rsidRDefault="00954814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Stawki ubezpieczeniowe i składki ubezpieczeniowe za ubezpieczenia, o których mowa w § 2 ust. 1, mające zastosowanie przy rozliczeniu składki (łącznej składki) należnej za udzielaną w ramach Umowy ochronę ubezpieczeniową, określa Załącznik nr 2 do Umowy „Formularz oferty”.</w:t>
      </w:r>
    </w:p>
    <w:p w14:paraId="1040152F" w14:textId="77777777" w:rsidR="00CC4C73" w:rsidRPr="00E05F6B" w:rsidRDefault="00CC4C73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Składka ubezpieczeniowa należna jest za czas trwania odpowiedzialności Ubezpieczyciela. </w:t>
      </w:r>
      <w:r w:rsidR="00994B30" w:rsidRPr="00E05F6B">
        <w:rPr>
          <w:rFonts w:ascii="Times New Roman" w:hAnsi="Times New Roman" w:cs="Times New Roman"/>
          <w:sz w:val="20"/>
          <w:szCs w:val="20"/>
        </w:rPr>
        <w:t xml:space="preserve">W przypadku wygaśnięcia stosunku ubezpieczenia przed upływem okresu, na jaki została zawarta </w:t>
      </w:r>
      <w:r w:rsidRPr="00E05F6B">
        <w:rPr>
          <w:rFonts w:ascii="Times New Roman" w:hAnsi="Times New Roman" w:cs="Times New Roman"/>
          <w:sz w:val="20"/>
          <w:szCs w:val="20"/>
        </w:rPr>
        <w:t xml:space="preserve">niniejsza </w:t>
      </w:r>
      <w:r w:rsidR="00994B30" w:rsidRPr="00E05F6B">
        <w:rPr>
          <w:rFonts w:ascii="Times New Roman" w:hAnsi="Times New Roman" w:cs="Times New Roman"/>
          <w:sz w:val="20"/>
          <w:szCs w:val="20"/>
        </w:rPr>
        <w:t>Umowa, Ubezpieczającemu przysługuje zwrot składki za okres niewykorzystanej ochrony ubezpieczeniowej bez ponoszenia opłat manipulacyjnych lub innych kosztów.</w:t>
      </w:r>
    </w:p>
    <w:p w14:paraId="05797249" w14:textId="1EDE884F" w:rsidR="00412961" w:rsidRPr="00E05F6B" w:rsidRDefault="00994B30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Strony ustalają, że w Okresie Obowiązywania Umowy, Ubezpieczający ma możliwość skorzystania z prawa opcji zmniejszenia wielkości </w:t>
      </w:r>
      <w:r w:rsidR="00CC4C73" w:rsidRPr="00E05F6B">
        <w:rPr>
          <w:rFonts w:ascii="Times New Roman" w:hAnsi="Times New Roman" w:cs="Times New Roman"/>
          <w:sz w:val="20"/>
          <w:szCs w:val="20"/>
        </w:rPr>
        <w:t>z</w:t>
      </w:r>
      <w:r w:rsidRPr="00E05F6B">
        <w:rPr>
          <w:rFonts w:ascii="Times New Roman" w:hAnsi="Times New Roman" w:cs="Times New Roman"/>
          <w:sz w:val="20"/>
          <w:szCs w:val="20"/>
        </w:rPr>
        <w:t xml:space="preserve">amówienia podstawowego w zakresie do </w:t>
      </w:r>
      <w:r w:rsidR="0047464F" w:rsidRPr="00E05F6B">
        <w:rPr>
          <w:rFonts w:ascii="Times New Roman" w:hAnsi="Times New Roman" w:cs="Times New Roman"/>
          <w:sz w:val="20"/>
          <w:szCs w:val="20"/>
        </w:rPr>
        <w:t>1</w:t>
      </w:r>
      <w:r w:rsidRPr="00E05F6B">
        <w:rPr>
          <w:rFonts w:ascii="Times New Roman" w:hAnsi="Times New Roman" w:cs="Times New Roman"/>
          <w:sz w:val="20"/>
          <w:szCs w:val="20"/>
        </w:rPr>
        <w:t>0 % łącznej składki ubezpieczeniowej określonej pierwotnie w Umowie,</w:t>
      </w:r>
      <w:r w:rsidR="00CC4C73" w:rsidRPr="00E05F6B">
        <w:rPr>
          <w:rFonts w:ascii="Times New Roman" w:hAnsi="Times New Roman" w:cs="Times New Roman"/>
          <w:sz w:val="20"/>
          <w:szCs w:val="20"/>
        </w:rPr>
        <w:t xml:space="preserve"> to jest kwoty określonej w § 5 ust. 1 odpowiadającej cenie ofertowej</w:t>
      </w:r>
      <w:r w:rsidRPr="00E05F6B">
        <w:rPr>
          <w:rFonts w:ascii="Times New Roman" w:hAnsi="Times New Roman" w:cs="Times New Roman"/>
          <w:sz w:val="20"/>
          <w:szCs w:val="20"/>
        </w:rPr>
        <w:t xml:space="preserve">, w przypadku </w:t>
      </w:r>
      <w:r w:rsidR="00954814" w:rsidRPr="00E05F6B">
        <w:rPr>
          <w:rFonts w:ascii="Times New Roman" w:hAnsi="Times New Roman" w:cs="Times New Roman"/>
          <w:sz w:val="20"/>
          <w:szCs w:val="20"/>
        </w:rPr>
        <w:t>uzasadnionych</w:t>
      </w:r>
      <w:r w:rsidRPr="00E05F6B">
        <w:rPr>
          <w:rFonts w:ascii="Times New Roman" w:hAnsi="Times New Roman" w:cs="Times New Roman"/>
          <w:sz w:val="20"/>
          <w:szCs w:val="20"/>
        </w:rPr>
        <w:t xml:space="preserve"> potrzeb Ubezpieczającego, a w szczególności </w:t>
      </w:r>
      <w:r w:rsidR="00954814" w:rsidRPr="00E05F6B">
        <w:rPr>
          <w:rFonts w:ascii="Times New Roman" w:hAnsi="Times New Roman" w:cs="Times New Roman"/>
          <w:sz w:val="20"/>
          <w:szCs w:val="20"/>
        </w:rPr>
        <w:t>w przypadku zbycia, likwidacji lub zniszczenia, zmniejszenia wartości ubezpieczanego mienia lub przeszacowań wartości ubezpieczanego mienia potwierdzonych stosowanymi dokumentami lub innych stanów faktycznych lub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 prawnych</w:t>
      </w:r>
      <w:r w:rsidR="00057D47" w:rsidRPr="00E05F6B">
        <w:rPr>
          <w:rFonts w:ascii="Times New Roman" w:hAnsi="Times New Roman" w:cs="Times New Roman"/>
          <w:sz w:val="20"/>
          <w:szCs w:val="20"/>
        </w:rPr>
        <w:t>,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 prowadzących do zmiany wartości ubezpieczanego mienia, w tym również w okolicznościach o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 których mowa w Klauzuli automatycznego pokrycia – rozliczenie roczne, o której mowa w Załączniku nr </w:t>
      </w:r>
      <w:r w:rsidR="000B41B8" w:rsidRPr="00E05F6B">
        <w:rPr>
          <w:rFonts w:ascii="Times New Roman" w:hAnsi="Times New Roman" w:cs="Times New Roman"/>
          <w:sz w:val="20"/>
          <w:szCs w:val="20"/>
        </w:rPr>
        <w:t xml:space="preserve">8 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do Umowy </w:t>
      </w:r>
      <w:r w:rsidR="000B41B8" w:rsidRPr="00E05F6B">
        <w:rPr>
          <w:rFonts w:ascii="Times New Roman" w:hAnsi="Times New Roman" w:cs="Times New Roman"/>
          <w:sz w:val="20"/>
          <w:szCs w:val="20"/>
        </w:rPr>
        <w:t xml:space="preserve">„Klauzule dodatkowe” </w:t>
      </w:r>
      <w:r w:rsidR="00954814" w:rsidRPr="00E05F6B">
        <w:rPr>
          <w:rFonts w:ascii="Times New Roman" w:hAnsi="Times New Roman" w:cs="Times New Roman"/>
          <w:sz w:val="20"/>
          <w:szCs w:val="20"/>
        </w:rPr>
        <w:t>(przy czym w przypadku</w:t>
      </w:r>
      <w:r w:rsidR="00522749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="00954814" w:rsidRPr="00E05F6B">
        <w:rPr>
          <w:rFonts w:ascii="Times New Roman" w:hAnsi="Times New Roman" w:cs="Times New Roman"/>
          <w:sz w:val="20"/>
          <w:szCs w:val="20"/>
        </w:rPr>
        <w:t>Klauzuli automatycznego pokrycia</w:t>
      </w:r>
      <w:r w:rsidR="00522749" w:rsidRPr="00E05F6B">
        <w:rPr>
          <w:rFonts w:ascii="Times New Roman" w:hAnsi="Times New Roman" w:cs="Times New Roman"/>
          <w:sz w:val="20"/>
          <w:szCs w:val="20"/>
        </w:rPr>
        <w:t xml:space="preserve"> – rozliczenie roczne,</w:t>
      </w:r>
      <w:r w:rsidR="00954814" w:rsidRPr="00E05F6B">
        <w:rPr>
          <w:rFonts w:ascii="Times New Roman" w:hAnsi="Times New Roman" w:cs="Times New Roman"/>
          <w:sz w:val="20"/>
          <w:szCs w:val="20"/>
        </w:rPr>
        <w:t xml:space="preserve"> opcja uruchamia się automatycznie po zaistnieniu okoliczności wskazanych w tej Klauzuli</w:t>
      </w:r>
      <w:r w:rsidR="00522749" w:rsidRPr="00E05F6B">
        <w:rPr>
          <w:rFonts w:ascii="Times New Roman" w:hAnsi="Times New Roman" w:cs="Times New Roman"/>
          <w:sz w:val="20"/>
          <w:szCs w:val="20"/>
        </w:rPr>
        <w:t xml:space="preserve"> bez konieczności składania dodatkowych oświadczeń za wyjątkiem tych, o których mowa w tej Klauzuli</w:t>
      </w:r>
      <w:r w:rsidR="00954814" w:rsidRPr="00E05F6B">
        <w:rPr>
          <w:rFonts w:ascii="Times New Roman" w:hAnsi="Times New Roman" w:cs="Times New Roman"/>
          <w:sz w:val="20"/>
          <w:szCs w:val="20"/>
        </w:rPr>
        <w:t>).</w:t>
      </w:r>
      <w:r w:rsidRPr="00E05F6B">
        <w:rPr>
          <w:rFonts w:ascii="Times New Roman" w:hAnsi="Times New Roman" w:cs="Times New Roman"/>
          <w:sz w:val="20"/>
          <w:szCs w:val="20"/>
        </w:rPr>
        <w:t xml:space="preserve"> Niewykonanie przez Ubezpieczającego, Umowy w zakresie do </w:t>
      </w:r>
      <w:r w:rsidR="0047464F" w:rsidRPr="00E05F6B">
        <w:rPr>
          <w:rFonts w:ascii="Times New Roman" w:hAnsi="Times New Roman" w:cs="Times New Roman"/>
          <w:sz w:val="20"/>
          <w:szCs w:val="20"/>
        </w:rPr>
        <w:t>1</w:t>
      </w:r>
      <w:r w:rsidRPr="00E05F6B">
        <w:rPr>
          <w:rFonts w:ascii="Times New Roman" w:hAnsi="Times New Roman" w:cs="Times New Roman"/>
          <w:sz w:val="20"/>
          <w:szCs w:val="20"/>
        </w:rPr>
        <w:t>0% łącznej składki ubezpieczeniowej określonej pierwotnie w Umowie, nie wymaga podania przyczyn i nie stanowi podstawy ich odpowiedzialności z tytułu niewykonania lub nienależytego wykonania Umowy. Warunkiem wykonania prawa opcji zmniejszenia jest złożenie przez Ubezpieczającego oświadczenia woli w przedmiocie skorzystania z prawa opcji zmniejszenia w określonym w oświadczeniu zakresie</w:t>
      </w:r>
      <w:r w:rsidR="00522749" w:rsidRPr="00E05F6B">
        <w:rPr>
          <w:rFonts w:ascii="Times New Roman" w:hAnsi="Times New Roman" w:cs="Times New Roman"/>
          <w:sz w:val="20"/>
          <w:szCs w:val="20"/>
        </w:rPr>
        <w:t>, z zastrzeżeniem, Klauzuli automatycznego pokrycia – rozliczenie. Skorzystanie z opcji n</w:t>
      </w:r>
      <w:r w:rsidRPr="00E05F6B">
        <w:rPr>
          <w:rFonts w:ascii="Times New Roman" w:hAnsi="Times New Roman" w:cs="Times New Roman"/>
          <w:sz w:val="20"/>
          <w:szCs w:val="20"/>
        </w:rPr>
        <w:t xml:space="preserve">ie wymaga dokonania zmiany Umowy. </w:t>
      </w:r>
      <w:r w:rsidR="003013A8" w:rsidRPr="00E05F6B">
        <w:rPr>
          <w:rFonts w:ascii="Times New Roman" w:hAnsi="Times New Roman" w:cs="Times New Roman"/>
          <w:sz w:val="20"/>
          <w:szCs w:val="20"/>
        </w:rPr>
        <w:t>Pod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3013A8" w:rsidRPr="00E05F6B">
        <w:rPr>
          <w:rFonts w:ascii="Times New Roman" w:hAnsi="Times New Roman" w:cs="Times New Roman"/>
          <w:sz w:val="20"/>
          <w:szCs w:val="20"/>
        </w:rPr>
        <w:t xml:space="preserve"> pojęciem oświadczenia informującego Ubezpieczyciela o uruchomieniu opcji w zakresie zmniejszenia, rozumie się również wniosek o zmniejszenie wartości ubezpieczanego </w:t>
      </w:r>
      <w:r w:rsidR="00057D47" w:rsidRPr="00E05F6B">
        <w:rPr>
          <w:rFonts w:ascii="Times New Roman" w:hAnsi="Times New Roman" w:cs="Times New Roman"/>
          <w:sz w:val="20"/>
          <w:szCs w:val="20"/>
        </w:rPr>
        <w:t>mienia</w:t>
      </w:r>
      <w:r w:rsidR="00522749" w:rsidRPr="00E05F6B">
        <w:rPr>
          <w:rFonts w:ascii="Times New Roman" w:hAnsi="Times New Roman" w:cs="Times New Roman"/>
          <w:sz w:val="20"/>
          <w:szCs w:val="20"/>
        </w:rPr>
        <w:t xml:space="preserve">. </w:t>
      </w:r>
      <w:r w:rsidRPr="00E05F6B">
        <w:rPr>
          <w:rFonts w:ascii="Times New Roman" w:hAnsi="Times New Roman" w:cs="Times New Roman"/>
          <w:sz w:val="20"/>
          <w:szCs w:val="20"/>
        </w:rPr>
        <w:t>W przypadku skorzystania z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prawa opcji zmniejszenia, rozliczenia składek ubezpieczeniowych, a w szczególności zwrot składek za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niewykorzystany okres ochrony ubezpieczeniowej oraz inne rozliczenia dokonywane na podstawie Umowy, </w:t>
      </w:r>
      <w:r w:rsidR="00522749" w:rsidRPr="00E05F6B">
        <w:rPr>
          <w:rFonts w:ascii="Times New Roman" w:hAnsi="Times New Roman" w:cs="Times New Roman"/>
          <w:sz w:val="20"/>
          <w:szCs w:val="20"/>
        </w:rPr>
        <w:t xml:space="preserve">z zastrzeżeniem postanowień Klauzuli automatycznego pokrycia – rozliczenie roczne, </w:t>
      </w:r>
      <w:r w:rsidRPr="00E05F6B">
        <w:rPr>
          <w:rFonts w:ascii="Times New Roman" w:hAnsi="Times New Roman" w:cs="Times New Roman"/>
          <w:sz w:val="20"/>
          <w:szCs w:val="20"/>
        </w:rPr>
        <w:t>zostaną wskazane w dokumentach ubezpieczenia oraz będą dokonywane proporcjonalnie (pro rata temporis), to jest za każdy dzień udzielonej przez Ubezpieczyciela ochrony ubezpieczeniowej.</w:t>
      </w:r>
      <w:r w:rsidR="00CC4C73" w:rsidRPr="00E05F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221591" w14:textId="7C25E58B" w:rsidR="00574945" w:rsidRPr="00E05F6B" w:rsidRDefault="00994B30" w:rsidP="00A63726">
      <w:pPr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Strony ustalają, że Ubezpieczający ma możliwość skorzystania z prawa opcji zwiększenia wielkości </w:t>
      </w:r>
      <w:r w:rsidR="00CC4C73" w:rsidRPr="00E05F6B">
        <w:rPr>
          <w:rFonts w:ascii="Times New Roman" w:hAnsi="Times New Roman" w:cs="Times New Roman"/>
          <w:sz w:val="20"/>
          <w:szCs w:val="20"/>
        </w:rPr>
        <w:t>z</w:t>
      </w:r>
      <w:r w:rsidRPr="00E05F6B">
        <w:rPr>
          <w:rFonts w:ascii="Times New Roman" w:hAnsi="Times New Roman" w:cs="Times New Roman"/>
          <w:sz w:val="20"/>
          <w:szCs w:val="20"/>
        </w:rPr>
        <w:t xml:space="preserve">amówienia podstawowego w zakresie do </w:t>
      </w:r>
      <w:r w:rsidR="0047464F" w:rsidRPr="00E05F6B">
        <w:rPr>
          <w:rFonts w:ascii="Times New Roman" w:hAnsi="Times New Roman" w:cs="Times New Roman"/>
          <w:sz w:val="20"/>
          <w:szCs w:val="20"/>
        </w:rPr>
        <w:t>1</w:t>
      </w:r>
      <w:r w:rsidRPr="00E05F6B">
        <w:rPr>
          <w:rFonts w:ascii="Times New Roman" w:hAnsi="Times New Roman" w:cs="Times New Roman"/>
          <w:sz w:val="20"/>
          <w:szCs w:val="20"/>
        </w:rPr>
        <w:t>0 % łącznej składki ubezpieczeniowej określonej pierwotnie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Umowie, </w:t>
      </w:r>
      <w:r w:rsidR="00CC4C73" w:rsidRPr="00E05F6B">
        <w:rPr>
          <w:rFonts w:ascii="Times New Roman" w:hAnsi="Times New Roman" w:cs="Times New Roman"/>
          <w:sz w:val="20"/>
          <w:szCs w:val="20"/>
        </w:rPr>
        <w:t>to jest kwoty określonej w § 5 ust. 1 odpowiadającej cenie ofertowej,</w:t>
      </w:r>
      <w:r w:rsidRPr="00E05F6B">
        <w:rPr>
          <w:rFonts w:ascii="Times New Roman" w:hAnsi="Times New Roman" w:cs="Times New Roman"/>
          <w:sz w:val="20"/>
          <w:szCs w:val="20"/>
        </w:rPr>
        <w:t xml:space="preserve"> w przypadku zwiększonych potrzeb Ubezpieczającego, a w szczególności w przypadku </w:t>
      </w:r>
      <w:r w:rsidR="00412961" w:rsidRPr="00E05F6B">
        <w:rPr>
          <w:rFonts w:ascii="Times New Roman" w:eastAsia="Calibri" w:hAnsi="Times New Roman" w:cs="Times New Roman"/>
          <w:sz w:val="20"/>
          <w:szCs w:val="20"/>
        </w:rPr>
        <w:t>wzrostu wartości składników mienia stanowiących przedmiot ubezpieczenia, wynikającego z nabycia tych składników mienia, modernizacji, remontu lub nakładów adaptacyjnych w ubezpieczonych składnikach mienia, w tym zaistnieniu okoliczności, o których mowa w Klauzuli automatycznego pokrycia – rozliczenie roczne, o której mowa w Załączniku nr</w:t>
      </w:r>
      <w:r w:rsidR="00E05F6B">
        <w:rPr>
          <w:rFonts w:ascii="Times New Roman" w:eastAsia="Calibri" w:hAnsi="Times New Roman" w:cs="Times New Roman"/>
          <w:sz w:val="20"/>
          <w:szCs w:val="20"/>
        </w:rPr>
        <w:t> </w:t>
      </w:r>
      <w:r w:rsidR="00412961" w:rsidRPr="00E05F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B41B8" w:rsidRPr="00E05F6B">
        <w:rPr>
          <w:rFonts w:ascii="Times New Roman" w:eastAsia="Calibri" w:hAnsi="Times New Roman" w:cs="Times New Roman"/>
          <w:sz w:val="20"/>
          <w:szCs w:val="20"/>
        </w:rPr>
        <w:t>8</w:t>
      </w:r>
      <w:r w:rsidR="00412961" w:rsidRPr="00E05F6B">
        <w:rPr>
          <w:rFonts w:ascii="Times New Roman" w:eastAsia="Calibri" w:hAnsi="Times New Roman" w:cs="Times New Roman"/>
          <w:sz w:val="20"/>
          <w:szCs w:val="20"/>
        </w:rPr>
        <w:t xml:space="preserve"> do Umowy</w:t>
      </w:r>
      <w:r w:rsidR="000B41B8" w:rsidRPr="00E05F6B">
        <w:rPr>
          <w:rFonts w:ascii="Times New Roman" w:eastAsia="Calibri" w:hAnsi="Times New Roman" w:cs="Times New Roman"/>
          <w:sz w:val="20"/>
          <w:szCs w:val="20"/>
        </w:rPr>
        <w:t xml:space="preserve"> „Klauzule dodatkowe”</w:t>
      </w:r>
      <w:r w:rsidR="00412961" w:rsidRPr="00E05F6B">
        <w:rPr>
          <w:rFonts w:ascii="Times New Roman" w:eastAsia="Calibri" w:hAnsi="Times New Roman" w:cs="Times New Roman"/>
          <w:sz w:val="20"/>
          <w:szCs w:val="20"/>
        </w:rPr>
        <w:t>, a także w wyniku innych stanów faktycznych lub prawnych prowadzących do zmiany ubezpieczanego mienia, jeżeli ochrona ubezpieczeniowa w tym zakresie nie będzie udzielana przez Ubezpieczyciela zgodnie z postanowieniami odpowiednich klauzul umownych, np.</w:t>
      </w:r>
      <w:r w:rsidR="00E05F6B">
        <w:rPr>
          <w:rFonts w:ascii="Times New Roman" w:eastAsia="Calibri" w:hAnsi="Times New Roman" w:cs="Times New Roman"/>
          <w:sz w:val="20"/>
          <w:szCs w:val="20"/>
        </w:rPr>
        <w:t> </w:t>
      </w:r>
      <w:r w:rsidR="00412961" w:rsidRPr="00E05F6B">
        <w:rPr>
          <w:rFonts w:ascii="Times New Roman" w:eastAsia="Calibri" w:hAnsi="Times New Roman" w:cs="Times New Roman"/>
          <w:sz w:val="20"/>
          <w:szCs w:val="20"/>
        </w:rPr>
        <w:t xml:space="preserve"> z</w:t>
      </w:r>
      <w:r w:rsidR="00E05F6B">
        <w:rPr>
          <w:rFonts w:ascii="Times New Roman" w:eastAsia="Calibri" w:hAnsi="Times New Roman" w:cs="Times New Roman"/>
          <w:sz w:val="20"/>
          <w:szCs w:val="20"/>
        </w:rPr>
        <w:t> </w:t>
      </w:r>
      <w:r w:rsidR="00412961" w:rsidRPr="00E05F6B">
        <w:rPr>
          <w:rFonts w:ascii="Times New Roman" w:eastAsia="Calibri" w:hAnsi="Times New Roman" w:cs="Times New Roman"/>
          <w:sz w:val="20"/>
          <w:szCs w:val="20"/>
        </w:rPr>
        <w:t xml:space="preserve"> powodu przekroczenia limitów określonych w tych klauzulach. </w:t>
      </w:r>
      <w:r w:rsidR="002A7BFD" w:rsidRPr="00E05F6B">
        <w:rPr>
          <w:rFonts w:ascii="Times New Roman" w:hAnsi="Times New Roman" w:cs="Times New Roman"/>
          <w:sz w:val="20"/>
          <w:szCs w:val="20"/>
        </w:rPr>
        <w:t xml:space="preserve">Ubezpieczyciel nie może odmówić wykonania Umowy w zakresie objętym opcją. </w:t>
      </w:r>
      <w:r w:rsidR="00E57018" w:rsidRPr="00E05F6B">
        <w:rPr>
          <w:rFonts w:ascii="Times New Roman" w:hAnsi="Times New Roman" w:cs="Times New Roman"/>
          <w:sz w:val="20"/>
          <w:szCs w:val="20"/>
        </w:rPr>
        <w:t xml:space="preserve">Skorzystanie z opcji zwiększenia nie wymaga dokonania zmiany Umowy. </w:t>
      </w:r>
      <w:r w:rsidR="00412961" w:rsidRPr="00E05F6B">
        <w:rPr>
          <w:rFonts w:ascii="Times New Roman" w:hAnsi="Times New Roman" w:cs="Times New Roman"/>
          <w:sz w:val="20"/>
          <w:szCs w:val="20"/>
        </w:rPr>
        <w:t>Dla uruchomienia opcji zwiększania, o której mowa w niniejszym ustępie, wystarczające jest złożenie przez Ubezpieczającego oświadczenia o woli skorzystania z opcji zwiększenia w określonym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412961" w:rsidRPr="00E05F6B">
        <w:rPr>
          <w:rFonts w:ascii="Times New Roman" w:hAnsi="Times New Roman" w:cs="Times New Roman"/>
          <w:sz w:val="20"/>
          <w:szCs w:val="20"/>
        </w:rPr>
        <w:t xml:space="preserve"> tym oświadczeniu zakresie, z zastrzeżeniem postanowień Klauzuli automatycznego pokrycia – rozliczenie roczne, (</w:t>
      </w:r>
      <w:r w:rsidR="00A63726" w:rsidRPr="00E05F6B">
        <w:rPr>
          <w:rFonts w:ascii="Times New Roman" w:hAnsi="Times New Roman" w:cs="Times New Roman"/>
          <w:sz w:val="20"/>
          <w:szCs w:val="20"/>
        </w:rPr>
        <w:t>przy czym w przypadku Klauzuli automatycznego pokrycia – rozliczenie roczne, opcja uruchamia się automatycznie po zaistnieniu okoliczności wskazanych w tej Klauzuli bez konieczności składania dodatkowych oświadczeń za wyjątkiem tych, o których mowa w tej Klauzuli</w:t>
      </w:r>
      <w:r w:rsidR="00412961" w:rsidRPr="00E05F6B">
        <w:rPr>
          <w:rFonts w:ascii="Times New Roman" w:hAnsi="Times New Roman" w:cs="Times New Roman"/>
          <w:sz w:val="20"/>
          <w:szCs w:val="20"/>
        </w:rPr>
        <w:t>).</w:t>
      </w:r>
      <w:r w:rsidRPr="00E05F6B">
        <w:rPr>
          <w:rFonts w:ascii="Times New Roman" w:hAnsi="Times New Roman" w:cs="Times New Roman"/>
          <w:sz w:val="20"/>
          <w:szCs w:val="20"/>
        </w:rPr>
        <w:t xml:space="preserve"> Pod pojęciem oświadczenia, o którym mowa w zdaniu poprzednim, rozumie się również wniosek o ubezpieczenie </w:t>
      </w:r>
      <w:r w:rsidR="00CC4C73" w:rsidRPr="00E05F6B">
        <w:rPr>
          <w:rFonts w:ascii="Times New Roman" w:hAnsi="Times New Roman" w:cs="Times New Roman"/>
          <w:sz w:val="20"/>
          <w:szCs w:val="20"/>
        </w:rPr>
        <w:t xml:space="preserve">składany </w:t>
      </w:r>
      <w:r w:rsidR="002A7BFD" w:rsidRPr="00E05F6B">
        <w:rPr>
          <w:rFonts w:ascii="Times New Roman" w:hAnsi="Times New Roman" w:cs="Times New Roman"/>
          <w:sz w:val="20"/>
          <w:szCs w:val="20"/>
        </w:rPr>
        <w:t>pisemnie lub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2A7BFD" w:rsidRPr="00E05F6B">
        <w:rPr>
          <w:rFonts w:ascii="Times New Roman" w:hAnsi="Times New Roman" w:cs="Times New Roman"/>
          <w:sz w:val="20"/>
          <w:szCs w:val="20"/>
        </w:rPr>
        <w:t xml:space="preserve"> drogą elektroniczną </w:t>
      </w:r>
      <w:r w:rsidR="00CC4C73" w:rsidRPr="00E05F6B">
        <w:rPr>
          <w:rFonts w:ascii="Times New Roman" w:hAnsi="Times New Roman" w:cs="Times New Roman"/>
          <w:sz w:val="20"/>
          <w:szCs w:val="20"/>
        </w:rPr>
        <w:t xml:space="preserve">przez Ubezpieczającego lub zgłoszenie </w:t>
      </w:r>
      <w:r w:rsidR="00412961" w:rsidRPr="00E05F6B">
        <w:rPr>
          <w:rFonts w:ascii="Times New Roman" w:hAnsi="Times New Roman" w:cs="Times New Roman"/>
          <w:sz w:val="20"/>
          <w:szCs w:val="20"/>
        </w:rPr>
        <w:t>mienia/aktualizacji danych</w:t>
      </w:r>
      <w:r w:rsidR="00CC4C73" w:rsidRPr="00E05F6B">
        <w:rPr>
          <w:rFonts w:ascii="Times New Roman" w:hAnsi="Times New Roman" w:cs="Times New Roman"/>
          <w:sz w:val="20"/>
          <w:szCs w:val="20"/>
        </w:rPr>
        <w:t xml:space="preserve"> do ubezpieczenia w ramach Umowy</w:t>
      </w:r>
      <w:r w:rsidR="007E2666" w:rsidRPr="00E05F6B">
        <w:rPr>
          <w:rFonts w:ascii="Times New Roman" w:hAnsi="Times New Roman" w:cs="Times New Roman"/>
          <w:sz w:val="20"/>
          <w:szCs w:val="20"/>
        </w:rPr>
        <w:t xml:space="preserve">, w tym również w okolicznościach </w:t>
      </w:r>
      <w:r w:rsidR="00E57018" w:rsidRPr="00E05F6B">
        <w:rPr>
          <w:rFonts w:ascii="Times New Roman" w:hAnsi="Times New Roman" w:cs="Times New Roman"/>
          <w:sz w:val="20"/>
          <w:szCs w:val="20"/>
        </w:rPr>
        <w:t>określonych</w:t>
      </w:r>
      <w:r w:rsidR="007E2666" w:rsidRPr="00E05F6B">
        <w:rPr>
          <w:rFonts w:ascii="Times New Roman" w:hAnsi="Times New Roman" w:cs="Times New Roman"/>
          <w:sz w:val="20"/>
          <w:szCs w:val="20"/>
        </w:rPr>
        <w:t xml:space="preserve"> w Klauzuli automatycznego pokrycia</w:t>
      </w:r>
      <w:r w:rsidR="00412961" w:rsidRPr="00E05F6B">
        <w:rPr>
          <w:rFonts w:ascii="Times New Roman" w:hAnsi="Times New Roman" w:cs="Times New Roman"/>
          <w:sz w:val="20"/>
          <w:szCs w:val="20"/>
        </w:rPr>
        <w:t xml:space="preserve"> – rozliczenie roczne </w:t>
      </w:r>
      <w:r w:rsidR="00E57018" w:rsidRPr="00E05F6B">
        <w:rPr>
          <w:rFonts w:ascii="Times New Roman" w:hAnsi="Times New Roman" w:cs="Times New Roman"/>
          <w:sz w:val="20"/>
          <w:szCs w:val="20"/>
        </w:rPr>
        <w:t>(zgodnie z którą opcja uruchamia się automatycznie po zaistnieniu okoliczności wskazanych w tej Klauzuli).</w:t>
      </w:r>
      <w:r w:rsidRPr="00E05F6B">
        <w:rPr>
          <w:rFonts w:ascii="Times New Roman" w:hAnsi="Times New Roman" w:cs="Times New Roman"/>
          <w:sz w:val="20"/>
          <w:szCs w:val="20"/>
        </w:rPr>
        <w:t xml:space="preserve"> Prawo opcji zwiększenia realizowane będzie na takich samych warunkach i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zakresie, jakie znajdują odpowiednie zastosowanie do danego rodzaju ubezpieczenia określonego </w:t>
      </w:r>
      <w:r w:rsidRPr="00E05F6B">
        <w:rPr>
          <w:rFonts w:ascii="Times New Roman" w:hAnsi="Times New Roman" w:cs="Times New Roman"/>
          <w:sz w:val="20"/>
          <w:szCs w:val="20"/>
        </w:rPr>
        <w:lastRenderedPageBreak/>
        <w:t>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Umowie, zgodnie z</w:t>
      </w:r>
      <w:r w:rsidR="00CB0083" w:rsidRPr="00E05F6B">
        <w:rPr>
          <w:rFonts w:ascii="Times New Roman" w:hAnsi="Times New Roman" w:cs="Times New Roman"/>
          <w:sz w:val="20"/>
          <w:szCs w:val="20"/>
        </w:rPr>
        <w:t xml:space="preserve"> Umową w tym z</w:t>
      </w:r>
      <w:r w:rsidRPr="00E05F6B">
        <w:rPr>
          <w:rFonts w:ascii="Times New Roman" w:hAnsi="Times New Roman" w:cs="Times New Roman"/>
          <w:sz w:val="20"/>
          <w:szCs w:val="20"/>
        </w:rPr>
        <w:t xml:space="preserve"> Załącznikiem nr 1 do Umowy „Opis </w:t>
      </w:r>
      <w:r w:rsidR="00D0133B" w:rsidRPr="00E05F6B">
        <w:rPr>
          <w:rFonts w:ascii="Times New Roman" w:hAnsi="Times New Roman" w:cs="Times New Roman"/>
          <w:sz w:val="20"/>
          <w:szCs w:val="20"/>
        </w:rPr>
        <w:t>p</w:t>
      </w:r>
      <w:r w:rsidRPr="00E05F6B">
        <w:rPr>
          <w:rFonts w:ascii="Times New Roman" w:hAnsi="Times New Roman" w:cs="Times New Roman"/>
          <w:sz w:val="20"/>
          <w:szCs w:val="20"/>
        </w:rPr>
        <w:t xml:space="preserve">rzedmiotu </w:t>
      </w:r>
      <w:r w:rsidR="00D0133B" w:rsidRPr="00E05F6B">
        <w:rPr>
          <w:rFonts w:ascii="Times New Roman" w:hAnsi="Times New Roman" w:cs="Times New Roman"/>
          <w:sz w:val="20"/>
          <w:szCs w:val="20"/>
        </w:rPr>
        <w:t>z</w:t>
      </w:r>
      <w:r w:rsidRPr="00E05F6B">
        <w:rPr>
          <w:rFonts w:ascii="Times New Roman" w:hAnsi="Times New Roman" w:cs="Times New Roman"/>
          <w:sz w:val="20"/>
          <w:szCs w:val="20"/>
        </w:rPr>
        <w:t>amówienia”.</w:t>
      </w:r>
      <w:r w:rsidR="002A7BFD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="00E57018" w:rsidRPr="00E05F6B">
        <w:rPr>
          <w:rFonts w:ascii="Times New Roman" w:hAnsi="Times New Roman" w:cs="Times New Roman"/>
          <w:sz w:val="20"/>
          <w:szCs w:val="20"/>
        </w:rPr>
        <w:t>Po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E57018" w:rsidRPr="00E05F6B">
        <w:rPr>
          <w:rFonts w:ascii="Times New Roman" w:hAnsi="Times New Roman" w:cs="Times New Roman"/>
          <w:sz w:val="20"/>
          <w:szCs w:val="20"/>
        </w:rPr>
        <w:t xml:space="preserve"> otrzymaniu ww. oświadczenia bądź zaistnieniu okoliczności wskazanych w Klauzuli automatycznego pokrycia</w:t>
      </w:r>
      <w:r w:rsidR="00412961" w:rsidRPr="00E05F6B">
        <w:rPr>
          <w:rFonts w:ascii="Times New Roman" w:hAnsi="Times New Roman" w:cs="Times New Roman"/>
          <w:sz w:val="20"/>
          <w:szCs w:val="20"/>
        </w:rPr>
        <w:t xml:space="preserve"> - rozliczenie roczne</w:t>
      </w:r>
      <w:r w:rsidR="00E57018" w:rsidRPr="00E05F6B">
        <w:rPr>
          <w:rFonts w:ascii="Times New Roman" w:hAnsi="Times New Roman" w:cs="Times New Roman"/>
          <w:sz w:val="20"/>
          <w:szCs w:val="20"/>
        </w:rPr>
        <w:t>, o której mowa w Załączniku nr</w:t>
      </w:r>
      <w:r w:rsidR="000B41B8" w:rsidRPr="00E05F6B">
        <w:rPr>
          <w:rFonts w:ascii="Times New Roman" w:hAnsi="Times New Roman" w:cs="Times New Roman"/>
          <w:sz w:val="20"/>
          <w:szCs w:val="20"/>
        </w:rPr>
        <w:t xml:space="preserve"> 8</w:t>
      </w:r>
      <w:r w:rsidR="00E57018" w:rsidRPr="00E05F6B">
        <w:rPr>
          <w:rFonts w:ascii="Times New Roman" w:hAnsi="Times New Roman" w:cs="Times New Roman"/>
          <w:sz w:val="20"/>
          <w:szCs w:val="20"/>
        </w:rPr>
        <w:t xml:space="preserve"> do Umowy</w:t>
      </w:r>
      <w:r w:rsidR="000B41B8" w:rsidRPr="00E05F6B">
        <w:rPr>
          <w:rFonts w:ascii="Times New Roman" w:hAnsi="Times New Roman" w:cs="Times New Roman"/>
          <w:sz w:val="20"/>
          <w:szCs w:val="20"/>
        </w:rPr>
        <w:t xml:space="preserve"> „Klauzule dodatkowe”</w:t>
      </w:r>
      <w:r w:rsidR="00E57018" w:rsidRPr="00E05F6B">
        <w:rPr>
          <w:rFonts w:ascii="Times New Roman" w:hAnsi="Times New Roman" w:cs="Times New Roman"/>
          <w:sz w:val="20"/>
          <w:szCs w:val="20"/>
        </w:rPr>
        <w:t>, Ubezpieczyciel zobowiązany jest przystąpić do realizacji zamówienia opcjonalnego na takich samych warunkach i zakresie, jakie znajdują odpowiednie zastosowanie do Umowy, a w wyniku realizacji prawa opcji zwiększenia Ubezpieczyciel powtórzy świadczenie ochrony ubezpieczeniowej w zakresie i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E57018" w:rsidRPr="00E05F6B">
        <w:rPr>
          <w:rFonts w:ascii="Times New Roman" w:hAnsi="Times New Roman" w:cs="Times New Roman"/>
          <w:sz w:val="20"/>
          <w:szCs w:val="20"/>
        </w:rPr>
        <w:t xml:space="preserve"> na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E57018" w:rsidRPr="00E05F6B">
        <w:rPr>
          <w:rFonts w:ascii="Times New Roman" w:hAnsi="Times New Roman" w:cs="Times New Roman"/>
          <w:sz w:val="20"/>
          <w:szCs w:val="20"/>
        </w:rPr>
        <w:t xml:space="preserve"> warunkach określonych w Umowie. </w:t>
      </w:r>
      <w:r w:rsidR="00412961" w:rsidRPr="00E05F6B">
        <w:rPr>
          <w:rFonts w:ascii="Times New Roman" w:hAnsi="Times New Roman" w:cs="Times New Roman"/>
          <w:sz w:val="20"/>
          <w:szCs w:val="20"/>
        </w:rPr>
        <w:t>Z tytułu realizacji prawa opcji zwiększenia, Ubezpieczycielowi przysługuje składka ubezpieczeniowa obliczona za czas trwania odpowiedzialności Ubezpieczyciela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412961" w:rsidRPr="00E05F6B">
        <w:rPr>
          <w:rFonts w:ascii="Times New Roman" w:hAnsi="Times New Roman" w:cs="Times New Roman"/>
          <w:sz w:val="20"/>
          <w:szCs w:val="20"/>
        </w:rPr>
        <w:t xml:space="preserve"> związku z realizacją prawa opcji zwiększenia, przy uwzględnieniu sum ubezpieczenia mienia objętego ochroną ubezpieczeniową, z zastosowaniem stawek ubezpieczeniowych, określonych w Załączniku nr 2 do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412961" w:rsidRPr="00E05F6B">
        <w:rPr>
          <w:rFonts w:ascii="Times New Roman" w:hAnsi="Times New Roman" w:cs="Times New Roman"/>
          <w:sz w:val="20"/>
          <w:szCs w:val="20"/>
        </w:rPr>
        <w:t xml:space="preserve"> Umowy „Formularz oferty”, zgodnie z Klauzulą pro rata temporis określoną w Załączniku nr </w:t>
      </w:r>
      <w:r w:rsidR="000B41B8" w:rsidRPr="00E05F6B">
        <w:rPr>
          <w:rFonts w:ascii="Times New Roman" w:hAnsi="Times New Roman" w:cs="Times New Roman"/>
          <w:sz w:val="20"/>
          <w:szCs w:val="20"/>
        </w:rPr>
        <w:t>8</w:t>
      </w:r>
      <w:r w:rsidR="00412961" w:rsidRPr="00E05F6B">
        <w:rPr>
          <w:rFonts w:ascii="Times New Roman" w:hAnsi="Times New Roman" w:cs="Times New Roman"/>
          <w:sz w:val="20"/>
          <w:szCs w:val="20"/>
        </w:rPr>
        <w:t xml:space="preserve"> do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412961" w:rsidRPr="00E05F6B">
        <w:rPr>
          <w:rFonts w:ascii="Times New Roman" w:hAnsi="Times New Roman" w:cs="Times New Roman"/>
          <w:sz w:val="20"/>
          <w:szCs w:val="20"/>
        </w:rPr>
        <w:t xml:space="preserve"> Umowy</w:t>
      </w:r>
      <w:r w:rsidR="000B41B8" w:rsidRPr="00E05F6B">
        <w:rPr>
          <w:rFonts w:ascii="Times New Roman" w:hAnsi="Times New Roman" w:cs="Times New Roman"/>
          <w:sz w:val="20"/>
          <w:szCs w:val="20"/>
        </w:rPr>
        <w:t xml:space="preserve"> „Klauzule dodatkowe”</w:t>
      </w:r>
      <w:r w:rsidR="00057D47" w:rsidRPr="00E05F6B">
        <w:rPr>
          <w:rFonts w:ascii="Times New Roman" w:hAnsi="Times New Roman" w:cs="Times New Roman"/>
          <w:sz w:val="20"/>
          <w:szCs w:val="20"/>
        </w:rPr>
        <w:t>, oraz zgodnie z Klauzulą automatycznego pokrycia – rozliczenie roczne – w przypadku rozliczenia tej Klauzuli</w:t>
      </w:r>
      <w:r w:rsidR="00A63726" w:rsidRPr="00E05F6B">
        <w:rPr>
          <w:rFonts w:ascii="Times New Roman" w:hAnsi="Times New Roman" w:cs="Times New Roman"/>
          <w:sz w:val="20"/>
          <w:szCs w:val="20"/>
        </w:rPr>
        <w:t>. Ł</w:t>
      </w:r>
      <w:r w:rsidR="00412961" w:rsidRPr="00E05F6B">
        <w:rPr>
          <w:rFonts w:ascii="Times New Roman" w:hAnsi="Times New Roman" w:cs="Times New Roman"/>
          <w:sz w:val="20"/>
          <w:szCs w:val="20"/>
        </w:rPr>
        <w:t>ączne wynagrodzenie Ubezpieczyciela należne z tytułu skorzystania z prawa opcji zwiększenia nie może łącznie przekroczyć 30% łącznej składki ubezpieczeniowej określonej pierwotnie w ust. 1</w:t>
      </w:r>
      <w:r w:rsidR="00A63726" w:rsidRPr="00E05F6B">
        <w:rPr>
          <w:rFonts w:ascii="Times New Roman" w:hAnsi="Times New Roman" w:cs="Times New Roman"/>
          <w:sz w:val="20"/>
          <w:szCs w:val="20"/>
        </w:rPr>
        <w:t xml:space="preserve"> (to jest wynikająca z ceny ofertowej wskazanej przez Ubezpieczyciela w ofercie)</w:t>
      </w:r>
      <w:r w:rsidR="00E05F6B">
        <w:rPr>
          <w:rFonts w:ascii="Times New Roman" w:hAnsi="Times New Roman" w:cs="Times New Roman"/>
          <w:sz w:val="20"/>
          <w:szCs w:val="20"/>
        </w:rPr>
        <w:t xml:space="preserve">. </w:t>
      </w:r>
      <w:r w:rsidRPr="00E05F6B">
        <w:rPr>
          <w:rFonts w:ascii="Times New Roman" w:hAnsi="Times New Roman" w:cs="Times New Roman"/>
          <w:sz w:val="20"/>
          <w:szCs w:val="20"/>
        </w:rPr>
        <w:t>Ubezpieczający zastrzega sobie prawo nieskorzystania z prawa opcji, a Ubezpieczycielowi nie przysługuje żadne roszczenie z tego tytułu.</w:t>
      </w:r>
      <w:r w:rsidR="00574945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="00DB684A" w:rsidRPr="00E05F6B">
        <w:rPr>
          <w:rFonts w:ascii="Times New Roman" w:hAnsi="Times New Roman" w:cs="Times New Roman"/>
          <w:sz w:val="20"/>
          <w:szCs w:val="20"/>
        </w:rPr>
        <w:t>Ubezpieczający podejmie decyzję o wykonaniu prawa opcji zwiększenia w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="00DB684A" w:rsidRPr="00E05F6B">
        <w:rPr>
          <w:rFonts w:ascii="Times New Roman" w:hAnsi="Times New Roman" w:cs="Times New Roman"/>
          <w:sz w:val="20"/>
          <w:szCs w:val="20"/>
        </w:rPr>
        <w:t xml:space="preserve"> trakcie realizacji zamówienia pod warunkiem, że w budżecie zostaną zabezpieczone odpowiednie środki na sfinansowanie zakresu realizowanego zamówienia opcjonalnego – najpóźniej w chwili jego realizacji.</w:t>
      </w:r>
    </w:p>
    <w:p w14:paraId="59EF940B" w14:textId="77777777" w:rsidR="002B16CA" w:rsidRPr="00E05F6B" w:rsidRDefault="002B16CA" w:rsidP="00C92AF8">
      <w:pPr>
        <w:pStyle w:val="Nagwek1"/>
      </w:pPr>
      <w:r w:rsidRPr="00E05F6B">
        <w:t xml:space="preserve">§ 6 </w:t>
      </w:r>
    </w:p>
    <w:p w14:paraId="570F5E35" w14:textId="54E3F1D7" w:rsidR="002B16CA" w:rsidRPr="00E05F6B" w:rsidRDefault="002B16CA" w:rsidP="00A637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Strony, na podstawie art.</w:t>
      </w:r>
      <w:r w:rsidR="00807A67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455 ust. 1 pkt 1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</w:t>
      </w:r>
      <w:r w:rsidR="00807A67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ZP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przewidują możliwość wprowadzenia </w:t>
      </w:r>
      <w:r w:rsidR="00E53E7A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następujących 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 </w:t>
      </w:r>
      <w:r w:rsidR="00E53E7A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E53E7A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Umowy:</w:t>
      </w:r>
    </w:p>
    <w:p w14:paraId="039E0CE5" w14:textId="6DC15021" w:rsidR="001C3AD4" w:rsidRPr="00E05F6B" w:rsidRDefault="001C3AD4" w:rsidP="00A6372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zmiany (podwyższenia, uzupełnienia, obniżenia) sumy ubezpieczenia (sumy gwarancyjnej) lub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limitów lub </w:t>
      </w:r>
      <w:proofErr w:type="spellStart"/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podlimitów</w:t>
      </w:r>
      <w:proofErr w:type="spellEnd"/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odpowiedzialności Ubezpieczyciela mających zastosowanie w ubezpieczeniu, o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którym mowa w § 2 ust. 1 oraz jeżeli zmiana ta ma wpływ na zmianę wysokości łącznej składki ubezpieczeniowej, o której mowa w § 5 ust. 1 - również zmianę w zakresie wysokości takiej składki, jeżeli po stronie Ubezpieczającego/ Ubezpieczonego zachodzą uzasadnione potrzeby oraz nastąpi przynajmniej jedna z następujących okoliczności:</w:t>
      </w:r>
    </w:p>
    <w:p w14:paraId="61616769" w14:textId="77777777" w:rsidR="001C3AD4" w:rsidRPr="00E05F6B" w:rsidRDefault="001C3AD4" w:rsidP="00A637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nastąpi obniżenie lub wyczerpanie sumy ubezpieczenia (sumy gwarancyjnej), limitów lub </w:t>
      </w:r>
      <w:proofErr w:type="spellStart"/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podlimitów</w:t>
      </w:r>
      <w:proofErr w:type="spellEnd"/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odpowiedzialności w wyniku wypłaty świadczenia z umowy ubezpieczenia, o którym mowa w § 2 ust. 1; </w:t>
      </w:r>
    </w:p>
    <w:p w14:paraId="70C90627" w14:textId="77777777" w:rsidR="001C3AD4" w:rsidRPr="00E05F6B" w:rsidRDefault="001C3AD4" w:rsidP="00A637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Ubezpieczający/Ubezpieczony zmieni zakres lub rozmiar prowadzonej działalności, albo nastąpi zmiana rodzaju lub wartości posiadanego przez Ubezpieczającego/Ubezpieczonego majątku; </w:t>
      </w:r>
    </w:p>
    <w:p w14:paraId="6AFDEC4B" w14:textId="2C2BFE25" w:rsidR="001C3AD4" w:rsidRPr="00E05F6B" w:rsidRDefault="001C3AD4" w:rsidP="00A637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 zmiana w obowiązujących przepisach prawa lub zmiana istotnych z uwagi na charakter działalności Ubezpieczającego lub Ubezpieczonego stosunków umownych, która wpłynie na ubezpieczenia zawarte w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 Umowy, w szczególności poprzez powstanie obowiązku lub potrzeby zmiany sumy ubezpieczenia (sumy gwarancyjnej) lub limitu lub </w:t>
      </w:r>
      <w:proofErr w:type="spellStart"/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podlimitu</w:t>
      </w:r>
      <w:proofErr w:type="spellEnd"/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odpowiedzialności Ubezpieczyciela w ubezpieczeniu, o którym mowa w § 2 ust. 1;</w:t>
      </w:r>
    </w:p>
    <w:p w14:paraId="2A5EE944" w14:textId="77777777" w:rsidR="001C3AD4" w:rsidRPr="00E05F6B" w:rsidRDefault="001C3AD4" w:rsidP="00A6372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 zmiana w strukturze organizacyjnej Ubezpieczającego/Ubezpieczonego, przekształcenie, połączenie, podział, zniesienie, likwidacja Ubezpieczającego/Ubezpieczonego lub im podobne;</w:t>
      </w:r>
    </w:p>
    <w:p w14:paraId="16279E76" w14:textId="6B500D7F" w:rsidR="001C3AD4" w:rsidRPr="00E05F6B" w:rsidRDefault="001C3AD4" w:rsidP="00A6372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Zmiany, o których mowa w niniejszym </w:t>
      </w:r>
      <w:r w:rsidR="000B41B8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§ 6 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pkt 1, powodujące zmianę wysokości łącznej składki ubezpieczeniowej, o której mowa w § 5 ust. 1, łącznie nie mogą przekroczyć 50% łącznej składki ubezpieczeniowej określonej pierwotnie w § 5 ust. 1, zarówno w przypadku obniżenia, jak i podwyższenia takich składek; Dodatkowa składka lub jej zwrot z tytułu wprowadzenia zmiany Umowy, o której mowa w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niniejszym </w:t>
      </w:r>
      <w:r w:rsidR="000B41B8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§ 6 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pkt 1, zostanie obliczona za czas trwania odpowiedzialności Ubezpieczyciela zgodnie z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postanowieniami Klauzuli pro rata temporis, na zmienionych w tym zakresie warunkach Umowy; Ubezpieczyciel określając dodatkową składkę lub jej zwrot obowiązany jest określić jej wysokość na takim poziomie, na jakim przy uwzględnieniu wszelkich okoliczności składka byłaby najprawdopodobniej pobrana lub zwrócona; Zmiana, o której mowa, może nastąpić na pisemny wniosek Ubezpieczającego, za zgodą obu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Stron wyrażoną na piśmie pod rygorem nieważności w formie aneksu do Umowy;</w:t>
      </w:r>
    </w:p>
    <w:p w14:paraId="08F6D6A8" w14:textId="77777777" w:rsidR="005A3B34" w:rsidRPr="00E05F6B" w:rsidRDefault="001C3AD4" w:rsidP="00A6372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zmiany ogólnych warunków ubezpieczenia, o których mowa w § 4 ust. 1, w przypadku gdy Ubezpieczyciel wprowadzi do obrotu w czasie trwania Umowy zmiany do stosowanych przez niego ogólnych warunków ubezpieczenia, z zastrzeżeniem, że w odniesieniu do Umowy możliwe jest wprowadzenie jedynie zmian na korzyść Ubezpieczającego lub Ubezpieczonego, a taka zmiana nie będzie skutkować zwiększeniem łącznej składki ubezpieczeniowej, o której mowa w § 5 ust. 1; Zmiana, o której mowa w niniejszym </w:t>
      </w:r>
      <w:r w:rsidR="000B41B8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§ 6 </w:t>
      </w:r>
      <w:r w:rsidR="005A3B34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pkt. 2,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nastąpić na wniosek Ubezpieczającego lub Ubezpieczyciela, za zgodą obu Stron wyrażoną na piśmie pod rygorem nieważności w formie pisemnego aneksu do Umowy</w:t>
      </w:r>
      <w:r w:rsidR="005A3B34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0095B0F2" w14:textId="7922B1FA" w:rsidR="005A3B34" w:rsidRPr="00E05F6B" w:rsidRDefault="005A3B34" w:rsidP="00A6372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objęcia ochroną dodatkowego ryzyka ubezpieczeniowego, jeżeli konieczność objęcia tego ryzyka ochroną ubezpieczeniową ujawniła się po terminie składania ofert w postępowaniu o udzielenie zamówienia 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– z zastrzeżeniem, że wskutek przedmiotowej zmiany łączna składka ubezpieczeniowa, o której mowa w § 5 ust. 1, nie przekroczy 20% wartości łącznej składki ubezpieczeniowej, o której mowa w § 5 ust. 1 określonej pierwotnie w Umowie</w:t>
      </w:r>
      <w:r w:rsidR="000B41B8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0B41B8" w:rsidRPr="00E05F6B">
        <w:rPr>
          <w:rFonts w:ascii="Times New Roman" w:hAnsi="Times New Roman" w:cs="Times New Roman"/>
          <w:sz w:val="20"/>
          <w:szCs w:val="20"/>
        </w:rPr>
        <w:t xml:space="preserve"> </w:t>
      </w:r>
      <w:r w:rsidR="000B41B8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Zmiana, o której mowa, może nastąpić na pisemny wniosek Ubezpieczającego, za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0B41B8"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zgodą obu Stron wyrażoną na piśmie pod rygorem nieważności w formie aneksu do Umowy;</w:t>
      </w:r>
    </w:p>
    <w:p w14:paraId="09B1D316" w14:textId="4312B2F0" w:rsidR="005A3B34" w:rsidRPr="00E05F6B" w:rsidRDefault="005A3B34" w:rsidP="00A6372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zmiany zakresu ubezpieczenia określonego w Załączniku nr 1 do Umowy „Opis przedmiotu zamówienia” (w tym w Klauzul fakultatywnych), bądź w ogólnych warunkach ubezpieczenia, jeżeli po stronie Ubezpieczającego/Ubezpieczonego zachodzą uzasadnione potrzeby oraz nastąpi przynajmniej jedna z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następujących okoliczności:</w:t>
      </w:r>
    </w:p>
    <w:p w14:paraId="05FBBC0D" w14:textId="3F67896A" w:rsidR="005A3B34" w:rsidRPr="00E05F6B" w:rsidRDefault="005A3B34" w:rsidP="00A6372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 zmiana rodzaju lub zakresu działalności wykonywanej przez Ubezpieczającego /Ubezpieczonego, albo nastąpi zmiana rodzaju lub wartości posiadanego przez Ubezpieczonego majątku mająca wpływ na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powstanie obowiązku lub potrzeby zmiany zakresu ubezpieczenia, o którym mowa w § 2 ust. 1,</w:t>
      </w:r>
    </w:p>
    <w:p w14:paraId="256A0186" w14:textId="020F7463" w:rsidR="005A3B34" w:rsidRPr="00E05F6B" w:rsidRDefault="005A3B34" w:rsidP="00A6372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 zmiana w obowiązujących przepisach prawa lub zmiana istotnych z uwagi na charakter działalności Ubezpieczającego lub Ubezpieczonego stosunków umownych, która wpłynie na ubezpieczenia zawarte w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 Umowy, w szczególności poprzez powstanie obowiązku lub potrzeby zmiany zakresu ubezpieczenia, o którym mowa w § 2 ust. 1,</w:t>
      </w:r>
    </w:p>
    <w:p w14:paraId="6EC935C0" w14:textId="25F0BB61" w:rsidR="005A3B34" w:rsidRPr="00E05F6B" w:rsidRDefault="005A3B34" w:rsidP="00A6372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nastąpi zmiana w strukturze organizacyjnej Ubezpieczającego/ Ubezpieczonego, przekształcenie, połączenie, podział, zniesienie, likwidacja Ubezpieczonego lub im podobne, która wpłynie na ubezpieczenia zawarte w</w:t>
      </w:r>
      <w:r w:rsid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ramach Umowy, w szczególności poprzez powstanie obowiązku lub potrzeby zmiany zakresu ubezpieczenia, o którym mowa w § 2 ust. 1; </w:t>
      </w:r>
    </w:p>
    <w:p w14:paraId="381FF48F" w14:textId="77777777" w:rsidR="005A3B34" w:rsidRPr="00E05F6B" w:rsidRDefault="005A3B34" w:rsidP="00A6372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05F6B">
        <w:rPr>
          <w:rFonts w:ascii="Times New Roman" w:eastAsia="Times New Roman" w:hAnsi="Times New Roman" w:cs="Times New Roman"/>
          <w:sz w:val="20"/>
          <w:szCs w:val="20"/>
          <w:lang w:eastAsia="pl-PL"/>
        </w:rPr>
        <w:t>z zastrzeżeniem, że przedmiotowa zmiana nie będzie skutkowała podwyższeniem wysokości łącznej składki ubezpieczeniowej, o której mowa w § 5 ust. 1; Zmiana, o której mowa powyżej, może nastąpić na pisemny wniosek Ubezpieczającego, za zgodą obu Stron wyrażoną na piśmie pod rygorem nieważności w formie pisemnego aneksu do Umowy;</w:t>
      </w:r>
    </w:p>
    <w:p w14:paraId="3CF5E01A" w14:textId="77777777" w:rsidR="002B16CA" w:rsidRPr="00E05F6B" w:rsidRDefault="002B16CA" w:rsidP="00C92AF8">
      <w:pPr>
        <w:pStyle w:val="Nagwek1"/>
      </w:pPr>
      <w:r w:rsidRPr="00E05F6B">
        <w:t xml:space="preserve">§ </w:t>
      </w:r>
      <w:r w:rsidR="004D49CC" w:rsidRPr="00E05F6B">
        <w:t>7</w:t>
      </w:r>
    </w:p>
    <w:p w14:paraId="3FA30A3B" w14:textId="77777777" w:rsidR="006E2934" w:rsidRPr="00E05F6B" w:rsidRDefault="006E2934" w:rsidP="00A63726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E05F6B">
        <w:rPr>
          <w:color w:val="auto"/>
          <w:sz w:val="20"/>
          <w:szCs w:val="20"/>
        </w:rPr>
        <w:t xml:space="preserve">Przeniesienie na osobę trzecią wierzytelności wynikających z Umowy wymaga zgody Ubezpieczającego, wyrażonej na piśmie pod rygorem nieważności. </w:t>
      </w:r>
    </w:p>
    <w:p w14:paraId="6CCC4988" w14:textId="77777777" w:rsidR="006E2934" w:rsidRPr="00E05F6B" w:rsidRDefault="002B16CA" w:rsidP="00A63726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E05F6B">
        <w:rPr>
          <w:sz w:val="20"/>
          <w:szCs w:val="20"/>
        </w:rPr>
        <w:t xml:space="preserve">Spory wynikające z Umowy będą rozstrzygane przez sąd powszechny właściwy według przepisu art. 10 </w:t>
      </w:r>
      <w:proofErr w:type="spellStart"/>
      <w:r w:rsidR="006E2934" w:rsidRPr="00E05F6B">
        <w:rPr>
          <w:sz w:val="20"/>
          <w:szCs w:val="20"/>
        </w:rPr>
        <w:t>UD</w:t>
      </w:r>
      <w:r w:rsidR="008E06B8" w:rsidRPr="00E05F6B">
        <w:rPr>
          <w:sz w:val="20"/>
          <w:szCs w:val="20"/>
        </w:rPr>
        <w:t>U</w:t>
      </w:r>
      <w:r w:rsidR="006E2934" w:rsidRPr="00E05F6B">
        <w:rPr>
          <w:sz w:val="20"/>
          <w:szCs w:val="20"/>
        </w:rPr>
        <w:t>iR</w:t>
      </w:r>
      <w:proofErr w:type="spellEnd"/>
      <w:r w:rsidRPr="00E05F6B">
        <w:rPr>
          <w:sz w:val="20"/>
          <w:szCs w:val="20"/>
        </w:rPr>
        <w:t>.</w:t>
      </w:r>
    </w:p>
    <w:p w14:paraId="742DC6E9" w14:textId="77777777" w:rsidR="006E2934" w:rsidRPr="00E05F6B" w:rsidRDefault="002B16CA" w:rsidP="00A63726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E05F6B">
        <w:rPr>
          <w:sz w:val="20"/>
          <w:szCs w:val="20"/>
        </w:rPr>
        <w:t>Prawem właściwym dla Umowy jest prawo polskie.</w:t>
      </w:r>
    </w:p>
    <w:p w14:paraId="1B34D70D" w14:textId="77777777" w:rsidR="006E2934" w:rsidRPr="00E05F6B" w:rsidRDefault="009577CD" w:rsidP="00A63726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E05F6B">
        <w:rPr>
          <w:rFonts w:eastAsia="Times New Roman"/>
          <w:sz w:val="20"/>
          <w:szCs w:val="20"/>
          <w:lang w:eastAsia="pl-PL"/>
        </w:rPr>
        <w:t>Zmiany i uzupełnienia Umowy</w:t>
      </w:r>
      <w:r w:rsidR="006E2934" w:rsidRPr="00E05F6B">
        <w:rPr>
          <w:rFonts w:eastAsia="Times New Roman"/>
          <w:sz w:val="20"/>
          <w:szCs w:val="20"/>
          <w:lang w:eastAsia="pl-PL"/>
        </w:rPr>
        <w:t xml:space="preserve">, </w:t>
      </w:r>
      <w:r w:rsidRPr="00E05F6B">
        <w:rPr>
          <w:rFonts w:eastAsia="Times New Roman"/>
          <w:sz w:val="20"/>
          <w:szCs w:val="20"/>
          <w:lang w:eastAsia="pl-PL"/>
        </w:rPr>
        <w:t>wymagają formy pisemnej pod rygorem nieważności</w:t>
      </w:r>
      <w:r w:rsidR="00CB0083" w:rsidRPr="00E05F6B">
        <w:rPr>
          <w:rFonts w:eastAsia="Times New Roman"/>
          <w:sz w:val="20"/>
          <w:szCs w:val="20"/>
          <w:lang w:eastAsia="pl-PL"/>
        </w:rPr>
        <w:t xml:space="preserve"> chyba, że postanowienia Umowy stanowią inaczej</w:t>
      </w:r>
      <w:r w:rsidRPr="00E05F6B">
        <w:rPr>
          <w:rFonts w:eastAsia="Times New Roman"/>
          <w:sz w:val="20"/>
          <w:szCs w:val="20"/>
          <w:lang w:eastAsia="pl-PL"/>
        </w:rPr>
        <w:t xml:space="preserve">. </w:t>
      </w:r>
    </w:p>
    <w:p w14:paraId="552AD1AF" w14:textId="77777777" w:rsidR="006E2934" w:rsidRPr="00E05F6B" w:rsidRDefault="009577CD" w:rsidP="00A63726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E05F6B">
        <w:rPr>
          <w:rFonts w:eastAsia="Times New Roman"/>
          <w:sz w:val="20"/>
          <w:szCs w:val="20"/>
          <w:lang w:eastAsia="pl-PL"/>
        </w:rPr>
        <w:t>Zmiana w zakresie danych dotyczących Stron, a w szczególności ich adresów lub nazw, imion i nazwisk osób uprawnionych do reprezentowania, nie stanowią istotnej zmiany postanowień Umowy i nie wymagają zgody Stron. Zmiana, o której mowa w zdaniu poprzednim, jest dokonywana jednostronnym oświadczeniem złożonym drugiej Stronie.</w:t>
      </w:r>
    </w:p>
    <w:p w14:paraId="66BAF6BF" w14:textId="77777777" w:rsidR="006E2934" w:rsidRPr="00E05F6B" w:rsidRDefault="002B16CA" w:rsidP="00A63726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E05F6B">
        <w:rPr>
          <w:sz w:val="20"/>
          <w:szCs w:val="20"/>
        </w:rPr>
        <w:t xml:space="preserve">W sprawach nieuregulowanych Umową, mają zastosowanie </w:t>
      </w:r>
      <w:r w:rsidR="009B68CE" w:rsidRPr="00E05F6B">
        <w:rPr>
          <w:sz w:val="20"/>
          <w:szCs w:val="20"/>
        </w:rPr>
        <w:t>p</w:t>
      </w:r>
      <w:r w:rsidRPr="00E05F6B">
        <w:rPr>
          <w:sz w:val="20"/>
          <w:szCs w:val="20"/>
        </w:rPr>
        <w:t xml:space="preserve">rzepisy </w:t>
      </w:r>
      <w:r w:rsidR="009B68CE" w:rsidRPr="00E05F6B">
        <w:rPr>
          <w:sz w:val="20"/>
          <w:szCs w:val="20"/>
        </w:rPr>
        <w:t xml:space="preserve">PZP, </w:t>
      </w:r>
      <w:r w:rsidRPr="00E05F6B">
        <w:rPr>
          <w:sz w:val="20"/>
          <w:szCs w:val="20"/>
        </w:rPr>
        <w:t xml:space="preserve">KC, </w:t>
      </w:r>
      <w:proofErr w:type="spellStart"/>
      <w:r w:rsidR="009B68CE" w:rsidRPr="00E05F6B">
        <w:rPr>
          <w:sz w:val="20"/>
          <w:szCs w:val="20"/>
        </w:rPr>
        <w:t>UD</w:t>
      </w:r>
      <w:r w:rsidR="008E06B8" w:rsidRPr="00E05F6B">
        <w:rPr>
          <w:sz w:val="20"/>
          <w:szCs w:val="20"/>
        </w:rPr>
        <w:t>U</w:t>
      </w:r>
      <w:r w:rsidR="009B68CE" w:rsidRPr="00E05F6B">
        <w:rPr>
          <w:sz w:val="20"/>
          <w:szCs w:val="20"/>
        </w:rPr>
        <w:t>iR</w:t>
      </w:r>
      <w:proofErr w:type="spellEnd"/>
      <w:r w:rsidRPr="00E05F6B">
        <w:rPr>
          <w:sz w:val="20"/>
          <w:szCs w:val="20"/>
        </w:rPr>
        <w:t xml:space="preserve">, a także inne przepisy powszechnie obowiązującego prawa, a także dokumentacja </w:t>
      </w:r>
      <w:r w:rsidR="008C7BFD" w:rsidRPr="00E05F6B">
        <w:rPr>
          <w:sz w:val="20"/>
          <w:szCs w:val="20"/>
        </w:rPr>
        <w:t>zamówienia</w:t>
      </w:r>
      <w:r w:rsidRPr="00E05F6B">
        <w:rPr>
          <w:sz w:val="20"/>
          <w:szCs w:val="20"/>
        </w:rPr>
        <w:t xml:space="preserve"> – numer sprawy ……………………..</w:t>
      </w:r>
    </w:p>
    <w:p w14:paraId="2D98E4DD" w14:textId="23893048" w:rsidR="00C92AF8" w:rsidRDefault="006E2934" w:rsidP="00A63726">
      <w:pPr>
        <w:pStyle w:val="Default"/>
        <w:numPr>
          <w:ilvl w:val="0"/>
          <w:numId w:val="9"/>
        </w:numPr>
        <w:jc w:val="both"/>
        <w:rPr>
          <w:sz w:val="20"/>
          <w:szCs w:val="20"/>
        </w:rPr>
      </w:pPr>
      <w:r w:rsidRPr="00E05F6B">
        <w:rPr>
          <w:sz w:val="20"/>
          <w:szCs w:val="20"/>
        </w:rPr>
        <w:t>Ubezpieczyciel uznaje i oświadcza, że w trakcie postępowania otrzymał od zamawiającego odpowiedź na</w:t>
      </w:r>
      <w:r w:rsidR="00E05F6B">
        <w:rPr>
          <w:sz w:val="20"/>
          <w:szCs w:val="20"/>
        </w:rPr>
        <w:t> </w:t>
      </w:r>
      <w:r w:rsidRPr="00E05F6B">
        <w:rPr>
          <w:sz w:val="20"/>
          <w:szCs w:val="20"/>
        </w:rPr>
        <w:t xml:space="preserve"> każde pytanie, które zadał w terminie określonym przepisami PZP i są mu znane wszelkie okoliczności oraz informacje niezbędne do zawarcia Umowy i realizacji przedmiotu niniejszej Umowy, w tym do oceny ryzyka ubezpieczeniowego. Wszelkie inne informacje Ubezpieczyciel uznaje za nieistotne. </w:t>
      </w:r>
    </w:p>
    <w:p w14:paraId="54037415" w14:textId="7341B965" w:rsidR="006E2934" w:rsidRPr="00C92AF8" w:rsidRDefault="00C92AF8" w:rsidP="00C92AF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1610A384" w14:textId="77777777" w:rsidR="002B16CA" w:rsidRPr="00E05F6B" w:rsidRDefault="002B16CA" w:rsidP="00C92AF8">
      <w:pPr>
        <w:pStyle w:val="Nagwek1"/>
      </w:pPr>
      <w:r w:rsidRPr="00E05F6B">
        <w:lastRenderedPageBreak/>
        <w:t xml:space="preserve">§ </w:t>
      </w:r>
      <w:r w:rsidR="006E2934" w:rsidRPr="00E05F6B">
        <w:t>8</w:t>
      </w:r>
    </w:p>
    <w:p w14:paraId="175DC4A4" w14:textId="0B512E44" w:rsidR="002B16CA" w:rsidRPr="00E05F6B" w:rsidRDefault="002B16CA" w:rsidP="00A63726">
      <w:pPr>
        <w:pStyle w:val="Akapitzlist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Umowę sporządzono w </w:t>
      </w:r>
      <w:r w:rsidR="001D0FD8" w:rsidRPr="00E05F6B">
        <w:rPr>
          <w:rFonts w:ascii="Times New Roman" w:hAnsi="Times New Roman" w:cs="Times New Roman"/>
          <w:sz w:val="20"/>
          <w:szCs w:val="20"/>
        </w:rPr>
        <w:t>2</w:t>
      </w:r>
      <w:r w:rsidRPr="00E05F6B">
        <w:rPr>
          <w:rFonts w:ascii="Times New Roman" w:hAnsi="Times New Roman" w:cs="Times New Roman"/>
          <w:sz w:val="20"/>
          <w:szCs w:val="20"/>
        </w:rPr>
        <w:t xml:space="preserve"> jednobrzmiących egzemplarzach, </w:t>
      </w:r>
      <w:r w:rsidR="001D0FD8" w:rsidRPr="00E05F6B">
        <w:rPr>
          <w:rFonts w:ascii="Times New Roman" w:hAnsi="Times New Roman" w:cs="Times New Roman"/>
          <w:sz w:val="20"/>
          <w:szCs w:val="20"/>
        </w:rPr>
        <w:t xml:space="preserve">1 </w:t>
      </w:r>
      <w:r w:rsidRPr="00E05F6B">
        <w:rPr>
          <w:rFonts w:ascii="Times New Roman" w:hAnsi="Times New Roman" w:cs="Times New Roman"/>
          <w:sz w:val="20"/>
          <w:szCs w:val="20"/>
        </w:rPr>
        <w:t xml:space="preserve">egzemplarz dla Ubezpieczającego, </w:t>
      </w:r>
      <w:r w:rsidR="001D0FD8" w:rsidRPr="00E05F6B">
        <w:rPr>
          <w:rFonts w:ascii="Times New Roman" w:hAnsi="Times New Roman" w:cs="Times New Roman"/>
          <w:sz w:val="20"/>
          <w:szCs w:val="20"/>
        </w:rPr>
        <w:t xml:space="preserve">1 </w:t>
      </w:r>
      <w:r w:rsidRPr="00E05F6B">
        <w:rPr>
          <w:rFonts w:ascii="Times New Roman" w:hAnsi="Times New Roman" w:cs="Times New Roman"/>
          <w:sz w:val="20"/>
          <w:szCs w:val="20"/>
        </w:rPr>
        <w:t>dla</w:t>
      </w:r>
      <w:r w:rsidR="00E05F6B">
        <w:rPr>
          <w:rFonts w:ascii="Times New Roman" w:hAnsi="Times New Roman" w:cs="Times New Roman"/>
          <w:sz w:val="20"/>
          <w:szCs w:val="20"/>
        </w:rPr>
        <w:t> </w:t>
      </w:r>
      <w:r w:rsidRPr="00E05F6B">
        <w:rPr>
          <w:rFonts w:ascii="Times New Roman" w:hAnsi="Times New Roman" w:cs="Times New Roman"/>
          <w:sz w:val="20"/>
          <w:szCs w:val="20"/>
        </w:rPr>
        <w:t xml:space="preserve"> Ubezpieczyciela.</w:t>
      </w:r>
    </w:p>
    <w:p w14:paraId="034D7836" w14:textId="77777777" w:rsidR="002B16CA" w:rsidRPr="00E05F6B" w:rsidRDefault="002B16CA" w:rsidP="00A63726">
      <w:pPr>
        <w:pStyle w:val="Akapitzlist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Integralną część Umowy stanowią następujące Załączniki do Umowy:</w:t>
      </w:r>
    </w:p>
    <w:p w14:paraId="4E095EAC" w14:textId="77777777" w:rsidR="00583AC9" w:rsidRPr="00E05F6B" w:rsidRDefault="002B16CA" w:rsidP="00A637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 xml:space="preserve">Załącznik nr 1 do Umowy „Opis </w:t>
      </w:r>
      <w:r w:rsidR="000B1B54" w:rsidRPr="00E05F6B">
        <w:rPr>
          <w:rFonts w:ascii="Times New Roman" w:hAnsi="Times New Roman" w:cs="Times New Roman"/>
          <w:bCs/>
          <w:sz w:val="20"/>
          <w:szCs w:val="20"/>
        </w:rPr>
        <w:t>p</w:t>
      </w:r>
      <w:r w:rsidRPr="00E05F6B">
        <w:rPr>
          <w:rFonts w:ascii="Times New Roman" w:hAnsi="Times New Roman" w:cs="Times New Roman"/>
          <w:bCs/>
          <w:sz w:val="20"/>
          <w:szCs w:val="20"/>
        </w:rPr>
        <w:t xml:space="preserve">rzedmiotu </w:t>
      </w:r>
      <w:r w:rsidR="000B1B54" w:rsidRPr="00E05F6B">
        <w:rPr>
          <w:rFonts w:ascii="Times New Roman" w:hAnsi="Times New Roman" w:cs="Times New Roman"/>
          <w:bCs/>
          <w:sz w:val="20"/>
          <w:szCs w:val="20"/>
        </w:rPr>
        <w:t>z</w:t>
      </w:r>
      <w:r w:rsidRPr="00E05F6B">
        <w:rPr>
          <w:rFonts w:ascii="Times New Roman" w:hAnsi="Times New Roman" w:cs="Times New Roman"/>
          <w:bCs/>
          <w:sz w:val="20"/>
          <w:szCs w:val="20"/>
        </w:rPr>
        <w:t>amówienia”,</w:t>
      </w:r>
    </w:p>
    <w:p w14:paraId="5881C906" w14:textId="77777777" w:rsidR="002B16CA" w:rsidRPr="00E05F6B" w:rsidRDefault="002B16CA" w:rsidP="00A637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>Załącznik nr 2 do Umowy</w:t>
      </w:r>
      <w:r w:rsidR="008F56BA" w:rsidRPr="00E05F6B">
        <w:rPr>
          <w:rFonts w:ascii="Times New Roman" w:hAnsi="Times New Roman" w:cs="Times New Roman"/>
          <w:bCs/>
          <w:sz w:val="20"/>
          <w:szCs w:val="20"/>
        </w:rPr>
        <w:t xml:space="preserve"> „</w:t>
      </w:r>
      <w:r w:rsidR="00CA35CA" w:rsidRPr="00E05F6B">
        <w:rPr>
          <w:rFonts w:ascii="Times New Roman" w:hAnsi="Times New Roman" w:cs="Times New Roman"/>
          <w:bCs/>
          <w:sz w:val="20"/>
          <w:szCs w:val="20"/>
        </w:rPr>
        <w:t>Formularz oferty</w:t>
      </w:r>
      <w:r w:rsidR="008F56BA" w:rsidRPr="00E05F6B">
        <w:rPr>
          <w:rFonts w:ascii="Times New Roman" w:hAnsi="Times New Roman" w:cs="Times New Roman"/>
          <w:bCs/>
          <w:sz w:val="20"/>
          <w:szCs w:val="20"/>
        </w:rPr>
        <w:t>”</w:t>
      </w:r>
      <w:r w:rsidR="008C7BFD" w:rsidRPr="00E05F6B">
        <w:rPr>
          <w:rFonts w:ascii="Times New Roman" w:hAnsi="Times New Roman" w:cs="Times New Roman"/>
          <w:bCs/>
          <w:sz w:val="20"/>
          <w:szCs w:val="20"/>
        </w:rPr>
        <w:t>,</w:t>
      </w:r>
    </w:p>
    <w:p w14:paraId="0609C22D" w14:textId="77777777" w:rsidR="008C7BFD" w:rsidRPr="00E05F6B" w:rsidRDefault="008C7BFD" w:rsidP="00A637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>Załącznik nr 3 do Umowy</w:t>
      </w:r>
      <w:r w:rsidR="00E01D9E" w:rsidRPr="00E05F6B">
        <w:rPr>
          <w:rFonts w:ascii="Times New Roman" w:hAnsi="Times New Roman" w:cs="Times New Roman"/>
          <w:bCs/>
          <w:sz w:val="20"/>
          <w:szCs w:val="20"/>
        </w:rPr>
        <w:t xml:space="preserve"> (ogólne warunki </w:t>
      </w:r>
      <w:r w:rsidR="00CA35CA" w:rsidRPr="00E05F6B">
        <w:rPr>
          <w:rFonts w:ascii="Times New Roman" w:hAnsi="Times New Roman" w:cs="Times New Roman"/>
          <w:bCs/>
          <w:sz w:val="20"/>
          <w:szCs w:val="20"/>
        </w:rPr>
        <w:t>ubezpieczenia mienia od ognia i innych zdarzeń losowych</w:t>
      </w:r>
      <w:r w:rsidR="00E01D9E" w:rsidRPr="00E05F6B">
        <w:rPr>
          <w:rFonts w:ascii="Times New Roman" w:hAnsi="Times New Roman" w:cs="Times New Roman"/>
          <w:bCs/>
          <w:sz w:val="20"/>
          <w:szCs w:val="20"/>
        </w:rPr>
        <w:t>),</w:t>
      </w:r>
    </w:p>
    <w:p w14:paraId="3F6AE767" w14:textId="77777777" w:rsidR="00C35BD6" w:rsidRPr="00E05F6B" w:rsidRDefault="00C35BD6" w:rsidP="00A637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>Załącznik nr 4 do Umowy</w:t>
      </w:r>
      <w:r w:rsidR="00E01D9E" w:rsidRPr="00E05F6B">
        <w:rPr>
          <w:rFonts w:ascii="Times New Roman" w:hAnsi="Times New Roman" w:cs="Times New Roman"/>
          <w:bCs/>
          <w:sz w:val="20"/>
          <w:szCs w:val="20"/>
        </w:rPr>
        <w:t xml:space="preserve"> (ogólne warunki </w:t>
      </w:r>
      <w:r w:rsidR="00CA35CA" w:rsidRPr="00E05F6B">
        <w:rPr>
          <w:rFonts w:ascii="Times New Roman" w:hAnsi="Times New Roman" w:cs="Times New Roman"/>
          <w:bCs/>
          <w:sz w:val="20"/>
          <w:szCs w:val="20"/>
        </w:rPr>
        <w:t xml:space="preserve">ubezpieczenia sprzętu elektronicznego oraz oprogramowania, kosztów odtworzenia danych od wszystkich </w:t>
      </w:r>
      <w:proofErr w:type="spellStart"/>
      <w:r w:rsidR="00CA35CA" w:rsidRPr="00E05F6B">
        <w:rPr>
          <w:rFonts w:ascii="Times New Roman" w:hAnsi="Times New Roman" w:cs="Times New Roman"/>
          <w:bCs/>
          <w:sz w:val="20"/>
          <w:szCs w:val="20"/>
        </w:rPr>
        <w:t>ryzyk</w:t>
      </w:r>
      <w:proofErr w:type="spellEnd"/>
      <w:r w:rsidR="00E01D9E" w:rsidRPr="00E05F6B">
        <w:rPr>
          <w:rFonts w:ascii="Times New Roman" w:hAnsi="Times New Roman" w:cs="Times New Roman"/>
          <w:bCs/>
          <w:sz w:val="20"/>
          <w:szCs w:val="20"/>
        </w:rPr>
        <w:t>),</w:t>
      </w:r>
    </w:p>
    <w:p w14:paraId="033C36F5" w14:textId="77777777" w:rsidR="00C35BD6" w:rsidRPr="00E05F6B" w:rsidRDefault="00C35BD6" w:rsidP="00A637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>Załącznik nr 5 do Umowy</w:t>
      </w:r>
      <w:r w:rsidR="00E01D9E" w:rsidRPr="00E05F6B">
        <w:rPr>
          <w:rFonts w:ascii="Times New Roman" w:hAnsi="Times New Roman" w:cs="Times New Roman"/>
          <w:bCs/>
          <w:sz w:val="20"/>
          <w:szCs w:val="20"/>
        </w:rPr>
        <w:t xml:space="preserve"> (ogólne warunki </w:t>
      </w:r>
      <w:r w:rsidR="00CA35CA" w:rsidRPr="00E05F6B">
        <w:rPr>
          <w:rFonts w:ascii="Times New Roman" w:hAnsi="Times New Roman" w:cs="Times New Roman"/>
          <w:bCs/>
          <w:sz w:val="20"/>
          <w:szCs w:val="20"/>
        </w:rPr>
        <w:t>ubezpieczenia mienia od kradzieży z włamaniem i rabunku, dewastacji (wandalizmu), graffiti</w:t>
      </w:r>
      <w:r w:rsidR="00E01D9E" w:rsidRPr="00E05F6B">
        <w:rPr>
          <w:rFonts w:ascii="Times New Roman" w:hAnsi="Times New Roman" w:cs="Times New Roman"/>
          <w:bCs/>
          <w:sz w:val="20"/>
          <w:szCs w:val="20"/>
        </w:rPr>
        <w:t>)</w:t>
      </w:r>
    </w:p>
    <w:p w14:paraId="381514FE" w14:textId="77777777" w:rsidR="00CA35CA" w:rsidRPr="00E05F6B" w:rsidRDefault="00CA35CA" w:rsidP="00A637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>Załącznik nr 6 do Umowy (ogólne warunki ubezpieczenia szyb i przedmiotów szklanych od stłuczenia)</w:t>
      </w:r>
    </w:p>
    <w:p w14:paraId="1BD332C3" w14:textId="77777777" w:rsidR="00CA35CA" w:rsidRPr="00E05F6B" w:rsidRDefault="00CA35CA" w:rsidP="00A637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>Załącznik nr 7 do Umowy (ogólne warunki ubezpieczenia odpowiedzialności cywilnej)</w:t>
      </w:r>
    </w:p>
    <w:p w14:paraId="104F2F32" w14:textId="32268C68" w:rsidR="00516AE3" w:rsidRPr="00E05F6B" w:rsidRDefault="00516AE3" w:rsidP="00E05F6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F6B">
        <w:rPr>
          <w:rFonts w:ascii="Times New Roman" w:hAnsi="Times New Roman" w:cs="Times New Roman"/>
          <w:bCs/>
          <w:sz w:val="20"/>
          <w:szCs w:val="20"/>
        </w:rPr>
        <w:t>Załącznik nr 8 do Umowy „Klauzule dodatkowe”</w:t>
      </w:r>
      <w:r w:rsidR="00E05F6B">
        <w:rPr>
          <w:rFonts w:ascii="Times New Roman" w:hAnsi="Times New Roman" w:cs="Times New Roman"/>
          <w:bCs/>
          <w:sz w:val="20"/>
          <w:szCs w:val="20"/>
        </w:rPr>
        <w:t>.</w:t>
      </w:r>
    </w:p>
    <w:p w14:paraId="7ACC824E" w14:textId="23C834D0" w:rsidR="00E05F6B" w:rsidRDefault="00E05F6B" w:rsidP="00A637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9ED0931" w14:textId="77777777" w:rsidR="00E05F6B" w:rsidRDefault="002B16CA" w:rsidP="00E05F6B">
      <w:pPr>
        <w:spacing w:after="0" w:line="240" w:lineRule="auto"/>
        <w:ind w:left="624"/>
        <w:jc w:val="both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 xml:space="preserve">Ubezpieczyciel </w:t>
      </w:r>
    </w:p>
    <w:p w14:paraId="3195D252" w14:textId="4F133830" w:rsidR="00E05F6B" w:rsidRDefault="00E05F6B" w:rsidP="00E05F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2BA3DEEF" w14:textId="529ECFC6" w:rsidR="002B16CA" w:rsidRPr="00E05F6B" w:rsidRDefault="002B16CA" w:rsidP="00E05F6B">
      <w:pPr>
        <w:spacing w:after="0" w:line="240" w:lineRule="auto"/>
        <w:ind w:right="397"/>
        <w:jc w:val="right"/>
        <w:rPr>
          <w:rFonts w:ascii="Times New Roman" w:hAnsi="Times New Roman" w:cs="Times New Roman"/>
          <w:sz w:val="20"/>
          <w:szCs w:val="20"/>
        </w:rPr>
      </w:pPr>
      <w:r w:rsidRPr="00E05F6B">
        <w:rPr>
          <w:rFonts w:ascii="Times New Roman" w:hAnsi="Times New Roman" w:cs="Times New Roman"/>
          <w:sz w:val="20"/>
          <w:szCs w:val="20"/>
        </w:rPr>
        <w:t>Ubezpieczający</w:t>
      </w:r>
    </w:p>
    <w:sectPr w:rsidR="002B16CA" w:rsidRPr="00E05F6B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8D8AE" w14:textId="77777777" w:rsidR="002D5128" w:rsidRDefault="002D5128">
      <w:pPr>
        <w:spacing w:after="0" w:line="240" w:lineRule="auto"/>
      </w:pPr>
      <w:r>
        <w:separator/>
      </w:r>
    </w:p>
  </w:endnote>
  <w:endnote w:type="continuationSeparator" w:id="0">
    <w:p w14:paraId="12066B1C" w14:textId="77777777" w:rsidR="002D5128" w:rsidRDefault="002D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896B2B">
          <w:rPr>
            <w:noProof/>
            <w:sz w:val="16"/>
            <w:szCs w:val="16"/>
          </w:rPr>
          <w:t>6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B253C" w14:textId="77777777" w:rsidR="002D5128" w:rsidRDefault="002D5128">
      <w:pPr>
        <w:spacing w:after="0" w:line="240" w:lineRule="auto"/>
      </w:pPr>
      <w:r>
        <w:separator/>
      </w:r>
    </w:p>
  </w:footnote>
  <w:footnote w:type="continuationSeparator" w:id="0">
    <w:p w14:paraId="2C8614FC" w14:textId="77777777" w:rsidR="002D5128" w:rsidRDefault="002D5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0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3"/>
  </w:num>
  <w:num w:numId="5">
    <w:abstractNumId w:val="10"/>
  </w:num>
  <w:num w:numId="6">
    <w:abstractNumId w:val="9"/>
  </w:num>
  <w:num w:numId="7">
    <w:abstractNumId w:val="5"/>
  </w:num>
  <w:num w:numId="8">
    <w:abstractNumId w:val="12"/>
  </w:num>
  <w:num w:numId="9">
    <w:abstractNumId w:val="14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8"/>
  </w:num>
  <w:num w:numId="15">
    <w:abstractNumId w:val="20"/>
  </w:num>
  <w:num w:numId="16">
    <w:abstractNumId w:val="19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81A8E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E4ED-095C-4E4E-98C4-027C0BAA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3177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6</cp:revision>
  <dcterms:created xsi:type="dcterms:W3CDTF">2021-03-11T07:40:00Z</dcterms:created>
  <dcterms:modified xsi:type="dcterms:W3CDTF">2021-03-11T11:16:00Z</dcterms:modified>
</cp:coreProperties>
</file>