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4" w:rsidRPr="003E0B30" w:rsidRDefault="006A1A84" w:rsidP="003E0B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E0B30">
        <w:rPr>
          <w:rFonts w:ascii="Times New Roman" w:hAnsi="Times New Roman" w:cs="Times New Roman"/>
          <w:b/>
          <w:sz w:val="20"/>
          <w:szCs w:val="20"/>
        </w:rPr>
        <w:t>PROGRAM FUNKCJONALNO-UŻYTKOWY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Toc536595189"/>
      <w:r w:rsidRPr="003E0B30">
        <w:rPr>
          <w:rFonts w:ascii="Times New Roman" w:hAnsi="Times New Roman" w:cs="Times New Roman"/>
          <w:b/>
          <w:sz w:val="20"/>
          <w:szCs w:val="20"/>
        </w:rPr>
        <w:t>Nazwa i adres Zamawiającego:</w:t>
      </w:r>
      <w:bookmarkEnd w:id="1"/>
      <w:r w:rsidRPr="003E0B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Wojewódzki Ośrodek Ruchu Drogowego w Katowicach ul. Francuska 78, 40-507 Katowice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Toc536595190"/>
      <w:r w:rsidRPr="003E0B30">
        <w:rPr>
          <w:rFonts w:ascii="Times New Roman" w:hAnsi="Times New Roman" w:cs="Times New Roman"/>
          <w:b/>
          <w:sz w:val="20"/>
          <w:szCs w:val="20"/>
        </w:rPr>
        <w:t>Nazwa przedmiotu zamówienia:</w:t>
      </w:r>
      <w:bookmarkEnd w:id="2"/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3" w:name="_Toc536595191"/>
      <w:r w:rsidRPr="003E0B30">
        <w:rPr>
          <w:rFonts w:ascii="Times New Roman" w:hAnsi="Times New Roman" w:cs="Times New Roman"/>
          <w:sz w:val="20"/>
          <w:szCs w:val="20"/>
        </w:rPr>
        <w:t>Wyko</w:t>
      </w:r>
      <w:r w:rsidR="00527B1C">
        <w:rPr>
          <w:rFonts w:ascii="Times New Roman" w:hAnsi="Times New Roman" w:cs="Times New Roman"/>
          <w:sz w:val="20"/>
          <w:szCs w:val="20"/>
        </w:rPr>
        <w:t>nanie Dokumentacji Projektowej oraz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wymiana opraw oświetlenia wewnętrznego </w:t>
      </w:r>
      <w:r w:rsidR="00527B1C">
        <w:rPr>
          <w:rFonts w:ascii="Times New Roman" w:hAnsi="Times New Roman" w:cs="Times New Roman"/>
          <w:sz w:val="20"/>
          <w:szCs w:val="20"/>
        </w:rPr>
        <w:t xml:space="preserve">i zewnętrznego </w:t>
      </w:r>
      <w:r w:rsidR="003E0B30">
        <w:rPr>
          <w:rFonts w:ascii="Times New Roman" w:hAnsi="Times New Roman" w:cs="Times New Roman"/>
          <w:sz w:val="20"/>
          <w:szCs w:val="20"/>
        </w:rPr>
        <w:t xml:space="preserve">w Wojewódzkim Ośrodku Ruchu Drogowego w Katowicach przy ul. </w:t>
      </w:r>
      <w:r w:rsidR="00527B1C">
        <w:rPr>
          <w:rFonts w:ascii="Times New Roman" w:hAnsi="Times New Roman" w:cs="Times New Roman"/>
          <w:sz w:val="20"/>
          <w:szCs w:val="20"/>
        </w:rPr>
        <w:t>Strzelców Bytomskich 98, 41-902 Bytom</w:t>
      </w:r>
      <w:r w:rsidR="003E0B30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Miejsce wykonania zmówienia:</w:t>
      </w:r>
      <w:bookmarkEnd w:id="3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Wojewódzki Ośrodek Ruchu Drogowego w Katowicach </w:t>
      </w:r>
      <w:r w:rsidR="00D421D7">
        <w:rPr>
          <w:rFonts w:ascii="Times New Roman" w:hAnsi="Times New Roman" w:cs="Times New Roman"/>
          <w:sz w:val="20"/>
          <w:szCs w:val="20"/>
        </w:rPr>
        <w:t xml:space="preserve">ul. </w:t>
      </w:r>
      <w:r w:rsidR="00527B1C">
        <w:rPr>
          <w:rFonts w:ascii="Times New Roman" w:hAnsi="Times New Roman" w:cs="Times New Roman"/>
          <w:sz w:val="20"/>
          <w:szCs w:val="20"/>
        </w:rPr>
        <w:t>Strzelców Bytomskich 98, 41-902 Bytom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Branża: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Elektryczna.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Toc536595192"/>
      <w:r w:rsidRPr="003E0B30">
        <w:rPr>
          <w:rFonts w:ascii="Times New Roman" w:hAnsi="Times New Roman" w:cs="Times New Roman"/>
          <w:b/>
          <w:sz w:val="20"/>
          <w:szCs w:val="20"/>
        </w:rPr>
        <w:t>Wspólny słownik zamówień (CPV) określający przedmiot zamówienia:</w:t>
      </w:r>
      <w:bookmarkEnd w:id="4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CPV: </w:t>
      </w:r>
      <w:r w:rsidR="006A1A84" w:rsidRPr="003E0B30">
        <w:rPr>
          <w:rFonts w:ascii="Times New Roman" w:hAnsi="Times New Roman" w:cs="Times New Roman"/>
          <w:b/>
          <w:sz w:val="20"/>
          <w:szCs w:val="20"/>
        </w:rPr>
        <w:t xml:space="preserve">Opis zamówienia </w:t>
      </w:r>
    </w:p>
    <w:p w:rsidR="006A1A84" w:rsidRPr="003E0B30" w:rsidRDefault="003A66D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id w:val="1645237379"/>
          <w:placeholder>
            <w:docPart w:val="C2C3D1A447D74BF08B82E1A2BC33BEF1"/>
          </w:placeholder>
        </w:sdtPr>
        <w:sdtEndPr/>
        <w:sdtContent>
          <w:hyperlink r:id="rId7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71323100-9</w:t>
            </w:r>
          </w:hyperlink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-701090474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Usługi projektowania systemów zasilania energią elektryczną.</w:t>
          </w:r>
        </w:sdtContent>
      </w:sdt>
    </w:p>
    <w:p w:rsidR="006A1A84" w:rsidRPr="003E0B30" w:rsidRDefault="003A66D4" w:rsidP="003E0B30">
      <w:pPr>
        <w:spacing w:line="360" w:lineRule="auto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sdt>
        <w:sdtPr>
          <w:rPr>
            <w:color w:val="0563C1" w:themeColor="hyperlink"/>
            <w:u w:val="single"/>
          </w:rPr>
          <w:id w:val="730895928"/>
          <w:placeholder>
            <w:docPart w:val="C2C3D1A447D74BF08B82E1A2BC33BEF1"/>
          </w:placeholder>
        </w:sdtPr>
        <w:sdtEndPr>
          <w:rPr>
            <w:color w:val="auto"/>
            <w:u w:val="none"/>
          </w:rPr>
        </w:sdtEndPr>
        <w:sdtContent>
          <w:hyperlink r:id="rId8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45310000-</w:t>
            </w:r>
          </w:hyperlink>
          <w:r w:rsidR="006A1A84" w:rsidRPr="003E0B30">
            <w:rPr>
              <w:rStyle w:val="Hipercze"/>
              <w:rFonts w:ascii="Times New Roman" w:hAnsi="Times New Roman" w:cs="Times New Roman"/>
              <w:sz w:val="20"/>
              <w:szCs w:val="20"/>
              <w:u w:val="none"/>
            </w:rPr>
            <w:t>0</w:t>
          </w:r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573934600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Roboty w zakresie instalacji elektrycznych.</w:t>
          </w:r>
        </w:sdtContent>
      </w:sdt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Spis zawartości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Przedmiot zamówienia.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Zakres robót i czynności.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Podstawa wyceny oferty.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Warunki odbioru końcowego/ostatecznego.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Ogólne wytyczne dla oferenta.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materiałowa (stan istniejący).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założenia do Dokumentacji Projektowej.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Dodatkowe informacje i wytyczne.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  <w:noProof/>
        </w:rPr>
        <w:t>Przepisy prawne i normy budowlane.</w:t>
      </w:r>
    </w:p>
    <w:p w:rsidR="006A1A84" w:rsidRPr="003E0B30" w:rsidRDefault="006A1A84" w:rsidP="003E0B30">
      <w:pPr>
        <w:pStyle w:val="Nagwek2"/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Przedmiot zamówienia.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Przedmiotem zamówienia jest Wyko</w:t>
      </w:r>
      <w:r w:rsidR="00527B1C">
        <w:rPr>
          <w:rFonts w:ascii="Times New Roman" w:hAnsi="Times New Roman" w:cs="Times New Roman"/>
          <w:sz w:val="20"/>
          <w:szCs w:val="20"/>
        </w:rPr>
        <w:t>nanie Dokumentacji Projektowej oraz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wymiana opraw oświetlenia wewnętrznego</w:t>
      </w:r>
      <w:r w:rsidR="00527B1C">
        <w:rPr>
          <w:rFonts w:ascii="Times New Roman" w:hAnsi="Times New Roman" w:cs="Times New Roman"/>
          <w:sz w:val="20"/>
          <w:szCs w:val="20"/>
        </w:rPr>
        <w:t xml:space="preserve"> i</w:t>
      </w:r>
      <w:r w:rsidR="00BA6C45">
        <w:rPr>
          <w:rFonts w:ascii="Times New Roman" w:hAnsi="Times New Roman" w:cs="Times New Roman"/>
          <w:sz w:val="20"/>
          <w:szCs w:val="20"/>
        </w:rPr>
        <w:t> </w:t>
      </w:r>
      <w:r w:rsidR="00527B1C">
        <w:rPr>
          <w:rFonts w:ascii="Times New Roman" w:hAnsi="Times New Roman" w:cs="Times New Roman"/>
          <w:sz w:val="20"/>
          <w:szCs w:val="20"/>
        </w:rPr>
        <w:t>zewnętrznego</w:t>
      </w:r>
      <w:r w:rsidRPr="003E0B30">
        <w:rPr>
          <w:rFonts w:ascii="Times New Roman" w:hAnsi="Times New Roman" w:cs="Times New Roman"/>
          <w:sz w:val="20"/>
          <w:szCs w:val="20"/>
        </w:rPr>
        <w:t xml:space="preserve"> w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</w:t>
      </w:r>
      <w:r w:rsidR="003E0B30">
        <w:rPr>
          <w:rFonts w:ascii="Times New Roman" w:hAnsi="Times New Roman" w:cs="Times New Roman"/>
          <w:sz w:val="20"/>
          <w:szCs w:val="20"/>
        </w:rPr>
        <w:t>Wojewódzkim Ośrodku Ruchu Drogowego w Katowicach</w:t>
      </w:r>
      <w:r w:rsidR="004663D4">
        <w:rPr>
          <w:rFonts w:ascii="Times New Roman" w:hAnsi="Times New Roman" w:cs="Times New Roman"/>
          <w:sz w:val="20"/>
          <w:szCs w:val="20"/>
        </w:rPr>
        <w:t xml:space="preserve"> oddział terenowy w</w:t>
      </w:r>
      <w:r w:rsidR="00527B1C">
        <w:rPr>
          <w:rFonts w:ascii="Times New Roman" w:hAnsi="Times New Roman" w:cs="Times New Roman"/>
          <w:sz w:val="20"/>
          <w:szCs w:val="20"/>
        </w:rPr>
        <w:t xml:space="preserve"> Bytomiu</w:t>
      </w:r>
      <w:r w:rsidR="003E0B30">
        <w:rPr>
          <w:rFonts w:ascii="Times New Roman" w:hAnsi="Times New Roman" w:cs="Times New Roman"/>
          <w:sz w:val="20"/>
          <w:szCs w:val="20"/>
        </w:rPr>
        <w:t>.</w:t>
      </w:r>
      <w:r w:rsidR="007F0B54">
        <w:rPr>
          <w:rFonts w:ascii="Times New Roman" w:hAnsi="Times New Roman" w:cs="Times New Roman"/>
          <w:sz w:val="20"/>
          <w:szCs w:val="20"/>
        </w:rPr>
        <w:t xml:space="preserve"> 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Zadanie obejmuje </w:t>
      </w:r>
      <w:r w:rsidR="00D421D7">
        <w:rPr>
          <w:rFonts w:ascii="Times New Roman" w:hAnsi="Times New Roman" w:cs="Times New Roman"/>
          <w:b/>
          <w:sz w:val="20"/>
          <w:szCs w:val="20"/>
        </w:rPr>
        <w:t>projekt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 oraz wymian</w:t>
      </w:r>
      <w:r w:rsidR="00D421D7">
        <w:rPr>
          <w:rFonts w:ascii="Times New Roman" w:hAnsi="Times New Roman" w:cs="Times New Roman"/>
          <w:b/>
          <w:sz w:val="20"/>
          <w:szCs w:val="20"/>
        </w:rPr>
        <w:t xml:space="preserve">ę </w:t>
      </w:r>
      <w:r w:rsidR="00BA6C45">
        <w:rPr>
          <w:rFonts w:ascii="Times New Roman" w:hAnsi="Times New Roman" w:cs="Times New Roman"/>
          <w:b/>
          <w:sz w:val="20"/>
          <w:szCs w:val="20"/>
        </w:rPr>
        <w:t>opraw oświetlenia wewnętrznego i zewnętrznego.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Zakres robót i czynności objętych przedmiotem zamówienia:</w:t>
      </w:r>
    </w:p>
    <w:p w:rsidR="006A1A84" w:rsidRPr="003E0B30" w:rsidRDefault="00BA6C45" w:rsidP="003E0B3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Dokonanie</w:t>
      </w:r>
      <w:r w:rsidR="006A1A84" w:rsidRPr="003E0B30">
        <w:rPr>
          <w:rFonts w:ascii="Times New Roman" w:hAnsi="Times New Roman" w:cs="Times New Roman"/>
        </w:rPr>
        <w:t xml:space="preserve"> oględzin istniejącej instalacji elektrycznej oświetlenia wewnętrznego </w:t>
      </w:r>
      <w:r>
        <w:rPr>
          <w:rFonts w:ascii="Times New Roman" w:hAnsi="Times New Roman" w:cs="Times New Roman"/>
        </w:rPr>
        <w:t xml:space="preserve">i zewnętrznego </w:t>
      </w:r>
      <w:r w:rsidR="006A1A84" w:rsidRPr="003E0B30">
        <w:rPr>
          <w:rFonts w:ascii="Times New Roman" w:hAnsi="Times New Roman" w:cs="Times New Roman"/>
        </w:rPr>
        <w:t>w zakresie niezbędnym do sporządzenia Dokumentacji Projektowej.</w:t>
      </w:r>
    </w:p>
    <w:p w:rsidR="006A1A84" w:rsidRPr="003E0B30" w:rsidRDefault="00BA6C45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Opracowanie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Projekt</w:t>
      </w:r>
      <w:r>
        <w:rPr>
          <w:rFonts w:ascii="Times New Roman" w:hAnsi="Times New Roman" w:cs="Times New Roman"/>
          <w:sz w:val="20"/>
          <w:szCs w:val="20"/>
        </w:rPr>
        <w:t>u Wykonawczego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– dobór i ilość opraw oświetleniowych</w:t>
      </w:r>
      <w:r w:rsidR="00391500">
        <w:rPr>
          <w:rFonts w:ascii="Times New Roman" w:hAnsi="Times New Roman" w:cs="Times New Roman"/>
          <w:sz w:val="20"/>
          <w:szCs w:val="20"/>
        </w:rPr>
        <w:t xml:space="preserve"> wraz z czujnikami ruchu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91500">
        <w:rPr>
          <w:rFonts w:ascii="Times New Roman" w:hAnsi="Times New Roman" w:cs="Times New Roman"/>
          <w:sz w:val="20"/>
          <w:szCs w:val="20"/>
        </w:rPr>
        <w:t>toaletach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BA6C45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zakończeniu prac wykonanie Dokumentacji Powykonawczej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z protokołami z pomia</w:t>
      </w:r>
      <w:r>
        <w:rPr>
          <w:rFonts w:ascii="Times New Roman" w:hAnsi="Times New Roman" w:cs="Times New Roman"/>
          <w:sz w:val="20"/>
          <w:szCs w:val="20"/>
        </w:rPr>
        <w:t>rów sprawdzających.</w:t>
      </w:r>
    </w:p>
    <w:p w:rsidR="006A1A84" w:rsidRPr="003E0B30" w:rsidRDefault="006A1A8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Zdemontowane elementy instalacji należy przekazać Zamawiającemu.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Podstawa wyceny oferty.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Podstawowe znaczenie dla kalkulacji ceny ofertowej ma Program Funkcjonalno-Użytkowy. W przypadku wątpliwości lub niejasności co do zakresu i rozwiązań technicznych realizowanego zadania należy kierować zapytania do Zamawiającego przed wyznaczonym terminem otwarcia ofert i osobiście dokonać oględzin instalacji elektrycznej z</w:t>
      </w:r>
      <w:r w:rsidR="003E0B30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natury.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Oferta powinna uwzględniać między innymi: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lastRenderedPageBreak/>
        <w:t>Oględziny instalacji elektrycznej oświetlenia wewnętrznego</w:t>
      </w:r>
      <w:r w:rsidR="00BA6C45">
        <w:rPr>
          <w:rFonts w:ascii="Times New Roman" w:hAnsi="Times New Roman" w:cs="Times New Roman"/>
        </w:rPr>
        <w:t xml:space="preserve"> i zewnętrznego</w:t>
      </w:r>
      <w:r w:rsidRPr="003E0B30">
        <w:rPr>
          <w:rFonts w:ascii="Times New Roman" w:hAnsi="Times New Roman" w:cs="Times New Roman"/>
        </w:rPr>
        <w:t>; oprzewodowanie i oprawy oświetleniowe,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Wykonanie Projektu Wykonawczego,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Wymiana opraw oświetleniowych</w:t>
      </w:r>
      <w:r w:rsidR="00BA6C45">
        <w:rPr>
          <w:rFonts w:ascii="Times New Roman" w:hAnsi="Times New Roman" w:cs="Times New Roman"/>
        </w:rPr>
        <w:t>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Sporządzenie Dokumentacji Powykonawczej,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Wszelkie koszty pośrednie konieczne do wykonania zamówienia.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Warunki odbioru końcowego/ostatecznego.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Podstawowym dokumentem jest protokół odbioru końcowego/ostatecznego robót sporządzony wg. wzoru ustalonego przez Zamawiającego. W skład komisji odbiorowej podczas odbioru końcowego/ostatecznego wchodzą między innymi kierownik robót elektrycznych i projektant branży elektrycznej.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W przypadku, gdy według komisji roboty pod względem przygotowania dokumentacji nie będą gotowe do odbioru, komisja w porozumieniu z Wykonawcą wyznaczy ponowny termin odbioru ostatecznego robót. 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Wszystkie zarządzone przez komisję roboty poprawkowe lub uzupełniające będą zestawione według wzoru ustalonego przez Zamawiającego. Termin wykonania robót poprawkowych i robót uzupełniających wyznaczy komisja i stwierdzi ich wykonanie.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robót elektrycznych winien przygotować do odbioru końcowego: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Projekt Powykonawczy z oś</w:t>
      </w:r>
      <w:r w:rsidR="003E0B30">
        <w:rPr>
          <w:rFonts w:ascii="Times New Roman" w:eastAsia="Gulim" w:hAnsi="Times New Roman" w:cs="Times New Roman"/>
        </w:rPr>
        <w:t>wiadczeniami projektanta i kierownika</w:t>
      </w:r>
      <w:r w:rsidRPr="003E0B30">
        <w:rPr>
          <w:rFonts w:ascii="Times New Roman" w:eastAsia="Gulim" w:hAnsi="Times New Roman" w:cs="Times New Roman"/>
        </w:rPr>
        <w:t xml:space="preserve"> robót elektrycznych o wykonaniu robót,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Uprawnienia budowlane i zaświadczenia o przynależności do Izby Inżynierów </w:t>
      </w:r>
      <w:r w:rsidR="00194E7F">
        <w:rPr>
          <w:rFonts w:ascii="Times New Roman" w:eastAsia="Gulim" w:hAnsi="Times New Roman" w:cs="Times New Roman"/>
        </w:rPr>
        <w:t>Budownictwa projektanta i</w:t>
      </w:r>
      <w:r w:rsidR="00391500">
        <w:rPr>
          <w:rFonts w:ascii="Times New Roman" w:eastAsia="Gulim" w:hAnsi="Times New Roman" w:cs="Times New Roman"/>
        </w:rPr>
        <w:t> </w:t>
      </w:r>
      <w:r w:rsidR="00194E7F">
        <w:rPr>
          <w:rFonts w:ascii="Times New Roman" w:eastAsia="Gulim" w:hAnsi="Times New Roman" w:cs="Times New Roman"/>
        </w:rPr>
        <w:t xml:space="preserve"> kierownika</w:t>
      </w:r>
      <w:r w:rsidRPr="003E0B30">
        <w:rPr>
          <w:rFonts w:ascii="Times New Roman" w:eastAsia="Gulim" w:hAnsi="Times New Roman" w:cs="Times New Roman"/>
        </w:rPr>
        <w:t xml:space="preserve"> robót elektrycznych,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Specyfikację materiałową zastosowanych materiałów i ich wartość,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Protokoły z: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oględzin wykonanej instalacji,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przeprowadzonych prób, badań i testów kontrolnych,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skuteczności ochrony przeciwporażeniowej,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rezystancji izolacji,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świadectwa wzorcowania mierników,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uprawnienia pracowników SEP (kategoria D- dozór i E – eksploatacja) wykonujących pomiary,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Dokumenty dopuszczające materiały do stosowania w budownictwie,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zobowiązany jest przekazać użytkownikowi wszystkie znajdujące się w jego posiadaniu materiały umożliwiające prawidłową eksploatację wybudowanej instalacji i potwierdzić za zgodność z oryginałem.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Wzory poszczególnych dokumentów</w:t>
      </w:r>
      <w:r w:rsidR="00967893">
        <w:rPr>
          <w:rFonts w:ascii="Times New Roman" w:eastAsia="Gulim" w:hAnsi="Times New Roman" w:cs="Times New Roman"/>
        </w:rPr>
        <w:t xml:space="preserve"> należy</w:t>
      </w:r>
      <w:r w:rsidRPr="003E0B30">
        <w:rPr>
          <w:rFonts w:ascii="Times New Roman" w:eastAsia="Gulim" w:hAnsi="Times New Roman" w:cs="Times New Roman"/>
        </w:rPr>
        <w:t xml:space="preserve"> wykonać wg. dostępnej literatury branżowej po wcześniejszym uzgodnieniu z</w:t>
      </w:r>
      <w:r w:rsidR="00194E7F">
        <w:rPr>
          <w:rFonts w:ascii="Times New Roman" w:eastAsia="Gulim" w:hAnsi="Times New Roman" w:cs="Times New Roman"/>
        </w:rPr>
        <w:t> </w:t>
      </w:r>
      <w:r w:rsidRPr="003E0B30">
        <w:rPr>
          <w:rFonts w:ascii="Times New Roman" w:eastAsia="Gulim" w:hAnsi="Times New Roman" w:cs="Times New Roman"/>
        </w:rPr>
        <w:t xml:space="preserve"> Zamawiającym.</w:t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Ogólne wytyczne dla oferenta.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Podstawowe znaczenie dla kalkulacji ceny ofertowej ma Program Funkcjonalno-Użytkowy,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Roboty budowlane należy prowadzić przy zachowaniu przepisów BHP i p.poż.,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 przypadku wątpliwości lub niejasności co do zakresu realizowanego zadania należy kierować zapytania do Zamawiającego przed wyznaczonym terminem otwarcia ofert,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robót jest odpowiedzialny za jakość wykonanych robót oraz za zgodność z obowiązującymi normami, dokumentacją techniczną, Specyfikacją Wykonania i Odbioru Robót Budowlanych, poleceniami  inspektora nadzoru,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lastRenderedPageBreak/>
        <w:t>Wykonawca zobowiązany jest zna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wszystkie przepisy obowiązujące na terenie kraju robót, oraz wszelkie wytyczne i inne normy, w jakikolwiek sposób zwi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zane z robotami i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w zupe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 odpowiedzialny za ich przestrzeganie oraz stosowanie, również w imieniu Podwykonawców,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odpowiada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za wszystkie szkody jakie mog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wynikn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z jego winy w trakcie prowadzenia robót budowlanych zarówno w stosunku do Zamawiającego jak i osób trzecich,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 wszystkie powstałe szkody spowodowane dzia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Wykonawcy ponosi on 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odpowiedzialno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finansow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i cywiln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,  a wszystkie uszkodzenia usunie i dokona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robotami przed zakończenie wykonywania prac budowlanych,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dokona usunięcia skutków i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prze siebie robotami,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zobowiązany jest do uporządkowania terenu objętego robotami.</w:t>
      </w:r>
    </w:p>
    <w:p w:rsidR="006A1A84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materiałowa (stan istniejący).</w:t>
      </w:r>
    </w:p>
    <w:tbl>
      <w:tblPr>
        <w:tblW w:w="91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lamp"/>
      </w:tblPr>
      <w:tblGrid>
        <w:gridCol w:w="363"/>
        <w:gridCol w:w="1622"/>
        <w:gridCol w:w="580"/>
        <w:gridCol w:w="480"/>
        <w:gridCol w:w="634"/>
        <w:gridCol w:w="960"/>
        <w:gridCol w:w="960"/>
        <w:gridCol w:w="669"/>
        <w:gridCol w:w="640"/>
        <w:gridCol w:w="580"/>
        <w:gridCol w:w="880"/>
        <w:gridCol w:w="880"/>
      </w:tblGrid>
      <w:tr w:rsidR="00337AA7" w:rsidRPr="00337AA7" w:rsidTr="00337AA7">
        <w:trPr>
          <w:trHeight w:val="27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Bytom plac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0A2ACE"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Stan aktualny </w:t>
            </w:r>
          </w:p>
        </w:tc>
      </w:tr>
      <w:tr w:rsidR="00337AA7" w:rsidRPr="00337AA7" w:rsidTr="00337AA7">
        <w:trPr>
          <w:trHeight w:val="24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</w:tr>
      <w:tr w:rsidR="00337AA7" w:rsidRPr="00337AA7" w:rsidTr="00337AA7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Metalohalogen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17 000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22 000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374 000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261 800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8 000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8 400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Stan projektowany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 LED</w:t>
            </w:r>
          </w:p>
        </w:tc>
      </w:tr>
      <w:tr w:rsidR="00337AA7" w:rsidRPr="00337AA7" w:rsidTr="00337AA7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Beghelli 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17</w:t>
            </w: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3,400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13 600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32 398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162,0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550 766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550 766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19 200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19 200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right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Bytom budynek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</w:pPr>
            <w:r w:rsidRPr="000A2ACE">
              <w:rPr>
                <w:rFonts w:eastAsia="Times New Roman"/>
                <w:b/>
                <w:kern w:val="0"/>
                <w:sz w:val="18"/>
                <w:szCs w:val="18"/>
                <w:lang w:eastAsia="pl-PL" w:bidi="ar-SA"/>
              </w:rPr>
              <w:t>A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Stan aktualny 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</w:tr>
      <w:tr w:rsidR="00337AA7" w:rsidRPr="00337AA7" w:rsidTr="00337AA7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98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86 400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86 400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1 600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76 800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76 800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5 375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64 500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45 150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13 125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157 500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110 250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Rtęć 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12 500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15 000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300 000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210 000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top 2 x 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5 600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37AA7" w:rsidRPr="00337AA7" w:rsidTr="00337AA7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1 440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83,3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33 600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4 x 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39 600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5 200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72,2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1 144 000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800 800</w:t>
            </w:r>
          </w:p>
        </w:tc>
      </w:tr>
      <w:tr w:rsidR="00337AA7" w:rsidRPr="00337AA7" w:rsidTr="00337AA7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B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Stan projektowany</w:t>
            </w:r>
          </w:p>
        </w:tc>
      </w:tr>
      <w:tr w:rsidR="00337AA7" w:rsidRPr="00337AA7" w:rsidTr="000A2ACE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 LED</w:t>
            </w:r>
          </w:p>
        </w:tc>
      </w:tr>
      <w:tr w:rsidR="00337AA7" w:rsidRPr="00337AA7" w:rsidTr="000A2ACE">
        <w:trPr>
          <w:trHeight w:val="39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Lp.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9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lastRenderedPageBreak/>
              <w:t> 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2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337AA7" w:rsidRPr="00337AA7" w:rsidTr="000A2ACE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left"/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4"/>
                <w:szCs w:val="14"/>
                <w:lang w:eastAsia="pl-PL" w:bidi="ar-SA"/>
              </w:rPr>
              <w:t> 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0,480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1 200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144 000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144 000</w:t>
            </w:r>
          </w:p>
        </w:tc>
      </w:tr>
      <w:tr w:rsidR="00337AA7" w:rsidRPr="00337AA7" w:rsidTr="000A2ACE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0,640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1 600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93,8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60 000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60 000</w:t>
            </w:r>
          </w:p>
        </w:tc>
      </w:tr>
      <w:tr w:rsidR="00337AA7" w:rsidRPr="00337AA7" w:rsidTr="000A2ACE">
        <w:trPr>
          <w:trHeight w:val="229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8"/>
                <w:szCs w:val="18"/>
                <w:lang w:eastAsia="pl-PL" w:bidi="ar-SA"/>
              </w:rPr>
              <w:t>II</w:t>
            </w:r>
          </w:p>
        </w:tc>
        <w:tc>
          <w:tcPr>
            <w:tcW w:w="8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LED projektowane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 za hal. 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43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0,645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1 613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77 400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77 400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 za hal. 250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1,260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3 150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151 200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151 200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za rtęć  250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1,200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144 000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144 000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  za top  2 x 25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0,080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200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9 600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9 600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1 x 36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40  za 1 x 54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0,040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4 800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 2 x18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337AA7" w:rsidRPr="00337AA7" w:rsidTr="000A2ACE">
        <w:trPr>
          <w:trHeight w:val="255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2 x 36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0,400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1 000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48 000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48 000</w:t>
            </w:r>
          </w:p>
        </w:tc>
      </w:tr>
      <w:tr w:rsidR="00337AA7" w:rsidRPr="00337AA7" w:rsidTr="000A2ACE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337AA7" w:rsidRDefault="00337AA7" w:rsidP="00337AA7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</w:pPr>
            <w:r w:rsidRPr="00337AA7">
              <w:rPr>
                <w:rFonts w:eastAsia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1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4 x 18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220</w:t>
            </w:r>
          </w:p>
        </w:tc>
        <w:tc>
          <w:tcPr>
            <w:tcW w:w="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11,000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27 500</w:t>
            </w: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1 320 000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7AA7" w:rsidRPr="000A2ACE" w:rsidRDefault="00337AA7" w:rsidP="00337AA7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0A2ACE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1 320 000</w:t>
            </w:r>
          </w:p>
        </w:tc>
      </w:tr>
    </w:tbl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założenia do Dokumentacji Projektowej.</w:t>
      </w:r>
    </w:p>
    <w:p w:rsidR="006A1A84" w:rsidRPr="003E0B30" w:rsidRDefault="006A1A84" w:rsidP="00194E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 xml:space="preserve">Roboty budowlane polegać będą na wymianie istniejących opraw oświetleniowych i zastąpieniu ich oprawami ze źródłami światła typu LED. Oprawy oświetleniowe zostaną wymienione </w:t>
      </w:r>
      <w:r w:rsidR="00313675">
        <w:rPr>
          <w:rFonts w:ascii="Times New Roman" w:hAnsi="Times New Roman" w:cs="Times New Roman"/>
          <w:sz w:val="20"/>
          <w:szCs w:val="20"/>
        </w:rPr>
        <w:t>wraz z niezbędnym dodatkowym o</w:t>
      </w:r>
      <w:r w:rsidR="00967893">
        <w:rPr>
          <w:rFonts w:ascii="Times New Roman" w:hAnsi="Times New Roman" w:cs="Times New Roman"/>
          <w:sz w:val="20"/>
          <w:szCs w:val="20"/>
        </w:rPr>
        <w:t xml:space="preserve">przyrządowaniem </w:t>
      </w:r>
      <w:r w:rsidR="00573EA2">
        <w:rPr>
          <w:rFonts w:ascii="Times New Roman" w:hAnsi="Times New Roman" w:cs="Times New Roman"/>
          <w:sz w:val="20"/>
          <w:szCs w:val="20"/>
        </w:rPr>
        <w:t>na całym obiekcie</w:t>
      </w:r>
      <w:r w:rsidR="00527B1C">
        <w:rPr>
          <w:rFonts w:ascii="Times New Roman" w:hAnsi="Times New Roman" w:cs="Times New Roman"/>
          <w:sz w:val="20"/>
          <w:szCs w:val="20"/>
        </w:rPr>
        <w:t xml:space="preserve"> z wyłączeniem wynajmowanych hal magazynowych</w:t>
      </w:r>
      <w:r w:rsidRPr="003E0B30">
        <w:rPr>
          <w:rFonts w:ascii="Times New Roman" w:hAnsi="Times New Roman" w:cs="Times New Roman"/>
          <w:sz w:val="20"/>
          <w:szCs w:val="20"/>
        </w:rPr>
        <w:t>. Podczas opracowywania projektu należy uwzględnić konieczność dołożenia nowych opraw tak aby uzyskać odpowiednie natężenie oświetlenia i</w:t>
      </w:r>
      <w:r w:rsidR="004663D4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równomierność</w:t>
      </w:r>
      <w:r w:rsidR="00313675">
        <w:rPr>
          <w:rFonts w:ascii="Times New Roman" w:hAnsi="Times New Roman" w:cs="Times New Roman"/>
          <w:sz w:val="20"/>
          <w:szCs w:val="20"/>
        </w:rPr>
        <w:t xml:space="preserve"> lub zredukować podane ilości przy zachowaniu odpowiedniego wymaganego przepisami natężenia światła</w:t>
      </w:r>
      <w:r w:rsidRPr="003E0B30">
        <w:rPr>
          <w:rFonts w:ascii="Times New Roman" w:hAnsi="Times New Roman" w:cs="Times New Roman"/>
          <w:sz w:val="20"/>
          <w:szCs w:val="20"/>
        </w:rPr>
        <w:t>. Podane ilości opraw są jedynie wartościami szacunkowymi, które bezwzględnie należy zweryfikować z</w:t>
      </w:r>
      <w:r w:rsidR="004663D4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użytkownikiem obiektu)</w:t>
      </w:r>
      <w:r w:rsidR="00967893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91500">
      <w:pPr>
        <w:pStyle w:val="Bezodstpw"/>
        <w:spacing w:line="360" w:lineRule="auto"/>
        <w:ind w:left="0"/>
        <w:rPr>
          <w:rFonts w:ascii="Times New Roman" w:hAnsi="Times New Roman" w:cs="Times New Roman"/>
          <w:u w:val="single"/>
        </w:rPr>
      </w:pPr>
      <w:r w:rsidRPr="003E0B30">
        <w:rPr>
          <w:rFonts w:ascii="Times New Roman" w:hAnsi="Times New Roman" w:cs="Times New Roman"/>
          <w:u w:val="single"/>
        </w:rPr>
        <w:t>Szczegóły dotyczące zastosowanych w dokumentacji projektowej rozwiązań technicznych, materiałów i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sposobu wykonania  prac należy bezwzględnie uzgodnić na etapie koncepcji i Projektu Wykonawczego z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przedstawicielami </w:t>
      </w:r>
      <w:r w:rsidR="00313675">
        <w:rPr>
          <w:rFonts w:ascii="Times New Roman" w:hAnsi="Times New Roman" w:cs="Times New Roman"/>
          <w:u w:val="single"/>
        </w:rPr>
        <w:t>inwestora</w:t>
      </w:r>
      <w:r w:rsidRPr="003E0B30">
        <w:rPr>
          <w:rFonts w:ascii="Times New Roman" w:hAnsi="Times New Roman" w:cs="Times New Roman"/>
          <w:u w:val="single"/>
        </w:rPr>
        <w:t xml:space="preserve"> – warunek konieczny do rozpoczęcia robót. 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Wymagania ogólne dotyczące sprzętu i maszyn.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Sprzęt będący własnością Wykonawcy lub wynajęty do wykonania robót ma być utrzymywany w dobry</w:t>
      </w:r>
      <w:r w:rsidR="00AD0D61">
        <w:rPr>
          <w:rFonts w:ascii="Times New Roman" w:hAnsi="Times New Roman" w:cs="Times New Roman"/>
          <w:sz w:val="20"/>
          <w:szCs w:val="20"/>
        </w:rPr>
        <w:t>m stanie i gotowości do pracy, spełniać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normy ochrony środowiska i przepisy dotyczące jego użytkowania. Wszystkie maszyny i narzędzia muszą posiadać znak bezpieczeństwa B,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Instalacje zasilające wszelkie znajdujące się na terenie budowy urządzenia elektryczne i elektronarz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dzia winny być zgodne z wymaganiami określonymi w PN-HD 60364-7-704:2010 „Instalacje na terenie budowy i rozbiórki”.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Dodatkowe informacje i wytyczne.</w:t>
      </w:r>
    </w:p>
    <w:p w:rsidR="006A1A84" w:rsidRPr="003E0B30" w:rsidRDefault="006A1A84" w:rsidP="003136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Prace będą odbywać się w czynnych obiektach, dlatego prowadzenie prac nie może utrudniać i zakłócać ich funkcjonowania.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Przepisy prawne i normy budowlane.</w:t>
      </w:r>
    </w:p>
    <w:p w:rsidR="006A1A84" w:rsidRPr="003E0B30" w:rsidRDefault="006A1A84" w:rsidP="00313675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Podczas projektowania i wykonywania robót budowanych należy stosować obowiązujące przepisy prawne i</w:t>
      </w:r>
      <w:r w:rsidR="00313675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normy branży elektryczne.</w:t>
      </w:r>
    </w:p>
    <w:sectPr w:rsidR="006A1A84" w:rsidRPr="003E0B30" w:rsidSect="00337AA7">
      <w:pgSz w:w="11906" w:h="16838"/>
      <w:pgMar w:top="851" w:right="851" w:bottom="113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A7" w:rsidRDefault="00337AA7">
      <w:r>
        <w:separator/>
      </w:r>
    </w:p>
  </w:endnote>
  <w:endnote w:type="continuationSeparator" w:id="0">
    <w:p w:rsidR="00337AA7" w:rsidRDefault="0033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A7" w:rsidRDefault="00337AA7">
      <w:r>
        <w:separator/>
      </w:r>
    </w:p>
  </w:footnote>
  <w:footnote w:type="continuationSeparator" w:id="0">
    <w:p w:rsidR="00337AA7" w:rsidRDefault="00337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CA"/>
    <w:multiLevelType w:val="hybridMultilevel"/>
    <w:tmpl w:val="67000C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856E9"/>
    <w:multiLevelType w:val="hybridMultilevel"/>
    <w:tmpl w:val="8B34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4F8"/>
    <w:multiLevelType w:val="hybridMultilevel"/>
    <w:tmpl w:val="2DE40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219B"/>
    <w:multiLevelType w:val="multilevel"/>
    <w:tmpl w:val="C546870A"/>
    <w:lvl w:ilvl="0">
      <w:start w:val="1"/>
      <w:numFmt w:val="lowerLetter"/>
      <w:lvlText w:val="%1)"/>
      <w:lvlJc w:val="left"/>
      <w:pPr>
        <w:ind w:left="66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4" w15:restartNumberingAfterBreak="0">
    <w:nsid w:val="1B7476AD"/>
    <w:multiLevelType w:val="hybridMultilevel"/>
    <w:tmpl w:val="2C46E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06F3"/>
    <w:multiLevelType w:val="multilevel"/>
    <w:tmpl w:val="29BA3B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1152" w:hanging="432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2D31DB"/>
    <w:multiLevelType w:val="hybridMultilevel"/>
    <w:tmpl w:val="DE727E46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6D8A0817"/>
    <w:multiLevelType w:val="multilevel"/>
    <w:tmpl w:val="6F4AD0F4"/>
    <w:lvl w:ilvl="0">
      <w:start w:val="1"/>
      <w:numFmt w:val="decimal"/>
      <w:lvlText w:val="%1."/>
      <w:lvlJc w:val="left"/>
      <w:pPr>
        <w:ind w:left="664" w:hanging="444"/>
      </w:pPr>
      <w:rPr>
        <w:rFonts w:eastAsia="SimSun" w:cs="Mangal"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8" w15:restartNumberingAfterBreak="0">
    <w:nsid w:val="747445F5"/>
    <w:multiLevelType w:val="hybridMultilevel"/>
    <w:tmpl w:val="F6581C9A"/>
    <w:lvl w:ilvl="0" w:tplc="848EDF9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17035"/>
    <w:multiLevelType w:val="hybridMultilevel"/>
    <w:tmpl w:val="95BA9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F6769FC"/>
    <w:multiLevelType w:val="hybridMultilevel"/>
    <w:tmpl w:val="8B2C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4D"/>
    <w:rsid w:val="000A2ACE"/>
    <w:rsid w:val="00194E7F"/>
    <w:rsid w:val="001A5776"/>
    <w:rsid w:val="00313675"/>
    <w:rsid w:val="00337AA7"/>
    <w:rsid w:val="00381486"/>
    <w:rsid w:val="00391500"/>
    <w:rsid w:val="003A66D4"/>
    <w:rsid w:val="003C67A7"/>
    <w:rsid w:val="003E0B30"/>
    <w:rsid w:val="003F79F2"/>
    <w:rsid w:val="004663D4"/>
    <w:rsid w:val="00527B1C"/>
    <w:rsid w:val="00573EA2"/>
    <w:rsid w:val="005C52B1"/>
    <w:rsid w:val="005E37CD"/>
    <w:rsid w:val="006A1A84"/>
    <w:rsid w:val="00760562"/>
    <w:rsid w:val="007F0B54"/>
    <w:rsid w:val="0086692C"/>
    <w:rsid w:val="00946E4D"/>
    <w:rsid w:val="00967893"/>
    <w:rsid w:val="009D44CF"/>
    <w:rsid w:val="00AD0D61"/>
    <w:rsid w:val="00BA6C45"/>
    <w:rsid w:val="00C06BA0"/>
    <w:rsid w:val="00C23917"/>
    <w:rsid w:val="00D421D7"/>
    <w:rsid w:val="00F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6B72-5EF2-4078-BF52-C152930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A84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A84"/>
    <w:pPr>
      <w:keepNext/>
      <w:keepLines/>
      <w:numPr>
        <w:numId w:val="1"/>
      </w:numPr>
      <w:spacing w:before="200"/>
      <w:outlineLvl w:val="1"/>
    </w:pPr>
    <w:rPr>
      <w:rFonts w:eastAsiaTheme="majorEastAsia"/>
      <w:b/>
      <w:bCs/>
      <w:color w:val="5B9BD5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A84"/>
    <w:pPr>
      <w:keepNext/>
      <w:keepLines/>
      <w:numPr>
        <w:ilvl w:val="1"/>
        <w:numId w:val="3"/>
      </w:numPr>
      <w:spacing w:before="200" w:after="240"/>
      <w:outlineLvl w:val="2"/>
    </w:pPr>
    <w:rPr>
      <w:rFonts w:eastAsiaTheme="majorEastAsia"/>
      <w:b/>
      <w:bCs/>
      <w:color w:val="5B9BD5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06BA0"/>
    <w:pPr>
      <w:spacing w:after="0" w:line="240" w:lineRule="auto"/>
      <w:ind w:left="708"/>
      <w:jc w:val="both"/>
    </w:pPr>
    <w:rPr>
      <w:rFonts w:ascii="Century Gothic" w:hAnsi="Century Gothic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A1A84"/>
    <w:pPr>
      <w:ind w:left="720"/>
      <w:contextualSpacing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A1A84"/>
    <w:pPr>
      <w:spacing w:after="100"/>
      <w:ind w:left="220"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6A1A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A1A84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A1A84"/>
    <w:rPr>
      <w:rFonts w:ascii="Arial" w:eastAsia="SimSun" w:hAnsi="Arial" w:cs="Mangal"/>
      <w:kern w:val="1"/>
      <w:szCs w:val="20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1A84"/>
    <w:rPr>
      <w:rFonts w:ascii="Century Gothic" w:hAnsi="Century Gothic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3675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3675"/>
    <w:rPr>
      <w:rFonts w:ascii="Arial" w:eastAsia="SimSun" w:hAnsi="Arial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w-zakresie-instalacji-elektrycznych-7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projektowania-systemow-zasilania-energia-elektryczna-8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C3D1A447D74BF08B82E1A2BC33B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579BD-2C28-4AC8-99E5-D26B8126CF71}"/>
      </w:docPartPr>
      <w:docPartBody>
        <w:p w:rsidR="00835030" w:rsidRDefault="00AC56D8" w:rsidP="00AC56D8">
          <w:pPr>
            <w:pStyle w:val="C2C3D1A447D74BF08B82E1A2BC33BEF1"/>
          </w:pPr>
          <w:r w:rsidRPr="0029099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D8"/>
    <w:rsid w:val="0016428A"/>
    <w:rsid w:val="00835030"/>
    <w:rsid w:val="00A8455E"/>
    <w:rsid w:val="00A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56D8"/>
    <w:rPr>
      <w:color w:val="808080"/>
    </w:rPr>
  </w:style>
  <w:style w:type="paragraph" w:customStyle="1" w:styleId="AB5189461D5F4532A1E63DEA46A39B80">
    <w:name w:val="AB5189461D5F4532A1E63DEA46A39B80"/>
    <w:rsid w:val="00AC56D8"/>
  </w:style>
  <w:style w:type="paragraph" w:customStyle="1" w:styleId="E89B456757644221BA19A6094726A1D7">
    <w:name w:val="E89B456757644221BA19A6094726A1D7"/>
    <w:rsid w:val="00AC56D8"/>
  </w:style>
  <w:style w:type="paragraph" w:customStyle="1" w:styleId="C2C3D1A447D74BF08B82E1A2BC33BEF1">
    <w:name w:val="C2C3D1A447D74BF08B82E1A2BC33BEF1"/>
    <w:rsid w:val="00AC5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1530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Szostak</dc:creator>
  <cp:keywords/>
  <dc:description/>
  <cp:lastModifiedBy>Łukasz Żurawik</cp:lastModifiedBy>
  <cp:revision>9</cp:revision>
  <dcterms:created xsi:type="dcterms:W3CDTF">2023-08-29T08:36:00Z</dcterms:created>
  <dcterms:modified xsi:type="dcterms:W3CDTF">2023-09-05T08:39:00Z</dcterms:modified>
</cp:coreProperties>
</file>