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B144915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A07BF2">
        <w:rPr>
          <w:rFonts w:ascii="Times New Roman" w:hAnsi="Times New Roman" w:cs="Times New Roman"/>
          <w:i/>
          <w:sz w:val="20"/>
          <w:szCs w:val="20"/>
        </w:rPr>
        <w:t>a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5A507138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>Szczegółowy opis przedmiotu zamówienia dla części 1</w:t>
      </w:r>
      <w:r w:rsidR="00A07BF2">
        <w:rPr>
          <w:rFonts w:ascii="Times New Roman" w:hAnsi="Times New Roman" w:cs="Times New Roman"/>
          <w:b/>
          <w:sz w:val="20"/>
          <w:szCs w:val="20"/>
        </w:rPr>
        <w:t>postępowania</w:t>
      </w:r>
    </w:p>
    <w:p w14:paraId="4BD2D21E" w14:textId="77777777" w:rsidR="006E36AC" w:rsidRPr="006E36AC" w:rsidRDefault="006E36AC" w:rsidP="006E36A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E36AC">
        <w:rPr>
          <w:rFonts w:ascii="Times New Roman" w:hAnsi="Times New Roman" w:cs="Times New Roman"/>
          <w:sz w:val="20"/>
          <w:szCs w:val="20"/>
        </w:rPr>
        <w:t xml:space="preserve">Warunki techniczne i wyposażenie symulatora dachowania: </w:t>
      </w:r>
    </w:p>
    <w:p w14:paraId="6570ABA7" w14:textId="39EE3F38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Urządzenie bezpieczne dla użytkownika i nie zagrażające środowisku naturalnemu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21F75A6" w14:textId="19FD9774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Przedmiot zamówienia fabrycznie nowy i wolny od wad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C2624E" w14:textId="32E603CF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Nadwozie pojazdu wykorzystywanego w symulatorze minimum 2 osobowe , zbudowane na bazie oryginalnej karoserii samo</w:t>
      </w:r>
      <w:r>
        <w:rPr>
          <w:rFonts w:ascii="Times New Roman" w:hAnsi="Times New Roman" w:cs="Times New Roman"/>
          <w:sz w:val="20"/>
          <w:szCs w:val="20"/>
        </w:rPr>
        <w:t>chodowej pojazdu  Smart  z datą</w:t>
      </w:r>
      <w:r w:rsidRPr="00185841">
        <w:rPr>
          <w:rFonts w:ascii="Times New Roman" w:hAnsi="Times New Roman" w:cs="Times New Roman"/>
          <w:sz w:val="20"/>
          <w:szCs w:val="20"/>
        </w:rPr>
        <w:t xml:space="preserve"> 1 rejestrac</w:t>
      </w:r>
      <w:r>
        <w:rPr>
          <w:rFonts w:ascii="Times New Roman" w:hAnsi="Times New Roman" w:cs="Times New Roman"/>
          <w:sz w:val="20"/>
          <w:szCs w:val="20"/>
        </w:rPr>
        <w:t xml:space="preserve">ji nie starszą niż 2016 rok. </w:t>
      </w:r>
      <w:r w:rsidRPr="00185841">
        <w:rPr>
          <w:rFonts w:ascii="Times New Roman" w:hAnsi="Times New Roman" w:cs="Times New Roman"/>
          <w:sz w:val="20"/>
          <w:szCs w:val="20"/>
        </w:rPr>
        <w:t>Wykonawca zobowiązuje się wówczas do zapewnienia wyglądu estetycznego nadwozia oraz warunków bezpieczeństwa w trakcie użytkowania symulatora.</w:t>
      </w:r>
    </w:p>
    <w:p w14:paraId="3598168B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Urządzenie złożone z kompletnego nadwozia samochodu osobowego, przez co należy rozumieć, że nadwozie symulatora jest identyczne jak pojazdu samochodowego przeznaczonego do eksploatacji. W skład wnętrza nadwozia wchodzą wszystkie elementy standardowego wyposażenia. Dopuszcza się brak elementów układu elektrycznego, napędowego, przeniesienia napędu, zawieszenia, układu hamulcowego i innych, które nie biorą udziału w symulacji dachowania pojazdu, jednakże nadwozie posiada zamontowane na stałe koła, zabezpieczone przed obracaniem się wokół osi. </w:t>
      </w:r>
    </w:p>
    <w:p w14:paraId="3A83EB6D" w14:textId="55AAF172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Wyposażenie wnętrza samochodu musi posiadać wszystkie elementy standardowego wyposażenia takie jak kierownica, pasy bezpieczeństwa </w:t>
      </w:r>
      <w:proofErr w:type="spellStart"/>
      <w:r w:rsidRPr="00185841">
        <w:rPr>
          <w:rFonts w:ascii="Times New Roman" w:hAnsi="Times New Roman" w:cs="Times New Roman"/>
          <w:sz w:val="20"/>
          <w:szCs w:val="20"/>
        </w:rPr>
        <w:t>itp</w:t>
      </w:r>
      <w:proofErr w:type="spellEnd"/>
      <w:r w:rsidRPr="00185841">
        <w:rPr>
          <w:rFonts w:ascii="Times New Roman" w:hAnsi="Times New Roman" w:cs="Times New Roman"/>
          <w:sz w:val="20"/>
          <w:szCs w:val="20"/>
        </w:rPr>
        <w:t>, oraz będzie wyposażone w pedały gaz, hamulec, sprzęgło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858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D28FB6" w14:textId="3D2CD931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Konstrukcja symulatora umożliwia przemieszczanie symulatora i jego użycie zarówno w pomieszczeniu jak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85841">
        <w:rPr>
          <w:rFonts w:ascii="Times New Roman" w:hAnsi="Times New Roman" w:cs="Times New Roman"/>
          <w:sz w:val="20"/>
          <w:szCs w:val="20"/>
        </w:rPr>
        <w:t xml:space="preserve"> na zewnątrz bez konieczności demontażu z przyczepy, przez co należy rozumieć wykonanie przyczepy pod indywidualne potrzeby użytej karoserii ,a  konstrukcja ramy przyczepy oraz  symulatora musi tworzyć integralną  spójną  część całości,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5841">
        <w:rPr>
          <w:rFonts w:ascii="Times New Roman" w:hAnsi="Times New Roman" w:cs="Times New Roman"/>
          <w:sz w:val="20"/>
          <w:szCs w:val="20"/>
        </w:rPr>
        <w:t>zarazem  nie dopuszcza się możliwości  wykonania  ramy konstrukcyjnej  symulatora i ramy przyczepy jako osobnych elementów składowych.</w:t>
      </w:r>
    </w:p>
    <w:p w14:paraId="4DDEF4BF" w14:textId="7C266D50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Rama przyczepy lakierowana proszkowo w kolorze czarnym strukturalnym 3 warstwowo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BB1B51" w14:textId="7C95011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Przyczepa 2 osiowa o dopuszczalnej masie całkowitej nie przekraczającej 1300 kg posiadająca hamulec najazdowy, hamulec postojowy, oraz kompletną instalację elektryczną  z wtykiem 7 oraz 13 pin zgodną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85841">
        <w:rPr>
          <w:rFonts w:ascii="Times New Roman" w:hAnsi="Times New Roman" w:cs="Times New Roman"/>
          <w:sz w:val="20"/>
          <w:szCs w:val="20"/>
        </w:rPr>
        <w:t xml:space="preserve"> oznaczeniami zgodnymi z przepisami o ruchu drogowym. </w:t>
      </w:r>
    </w:p>
    <w:p w14:paraId="518FC76E" w14:textId="15E137CD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Homologacja </w:t>
      </w:r>
      <w:r w:rsidRPr="00185841">
        <w:rPr>
          <w:rFonts w:ascii="Times New Roman" w:hAnsi="Times New Roman" w:cs="Times New Roman"/>
          <w:sz w:val="20"/>
          <w:szCs w:val="20"/>
        </w:rPr>
        <w:t>do rejestracji pojazdu jako przyczepa specjalna symulator dachowania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88786E9" w14:textId="0B780194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Na dyszlu przyczepa posiada koło zapasowe – identyczne jak użyte  do produkcji przyczepy nie mniejsze niż  R14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EA55CD3" w14:textId="20DAF865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Nadkola przyczepy zintegrowane na stałe do konstrukcji przyczepy wykonane w sposób umożliwiający wygodne wejście do kabiny samochodu oraz posiadające wykończenie (stopnice) z materiału antypoślizgowego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B20D23B" w14:textId="1BDA4D7A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System zasilania z sieci ogólnodostępnej 230V z przejściówką do zasilania prądem 380V (prąd trójfazowy), wyposażony w zabezpieczenia przeciw porażeniowe, umożliwiające eksploatację urządzenia w wa</w:t>
      </w:r>
      <w:r>
        <w:rPr>
          <w:rFonts w:ascii="Times New Roman" w:hAnsi="Times New Roman" w:cs="Times New Roman"/>
          <w:sz w:val="20"/>
          <w:szCs w:val="20"/>
        </w:rPr>
        <w:t>runkach opadów atmosferycznych.</w:t>
      </w:r>
    </w:p>
    <w:p w14:paraId="46E12F8C" w14:textId="3BC04113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Możliwość wyłączenia symulatora w dowolnym położeniu i wznowieniu jego pracy oraz wyłącznik awaryjny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98B923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Płynna regulacja prędkości obrotowej symulatora wraz z trybem automatycznego cyklu pracy i trybem sterowania ręcznego zgodnie z  normą  bezpieczeństwa CE.</w:t>
      </w:r>
    </w:p>
    <w:p w14:paraId="6688BB4B" w14:textId="74BF3BBA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lastRenderedPageBreak/>
        <w:t>Praca w obydwu kierunkach obrotu, w celu poprawy komfortu i be</w:t>
      </w:r>
      <w:r>
        <w:rPr>
          <w:rFonts w:ascii="Times New Roman" w:hAnsi="Times New Roman" w:cs="Times New Roman"/>
          <w:sz w:val="20"/>
          <w:szCs w:val="20"/>
        </w:rPr>
        <w:t xml:space="preserve">zpieczeństwa symulator cechuje </w:t>
      </w:r>
      <w:r w:rsidRPr="00185841">
        <w:rPr>
          <w:rFonts w:ascii="Times New Roman" w:hAnsi="Times New Roman" w:cs="Times New Roman"/>
          <w:sz w:val="20"/>
          <w:szCs w:val="20"/>
        </w:rPr>
        <w:t xml:space="preserve">się tzw. „miękkim” startem i zatrzymaniem cyklu pracy. </w:t>
      </w:r>
    </w:p>
    <w:p w14:paraId="008FD58E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Możliwość płynnej regulacji prędkości obrotowej (3 poziomy prędkości). </w:t>
      </w:r>
    </w:p>
    <w:p w14:paraId="0BA81CB5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Możliwość zmiany kierunku obrotu (prawo, lewo). </w:t>
      </w:r>
    </w:p>
    <w:p w14:paraId="0AE3AC86" w14:textId="0D8A6C59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Awaryjny stop – funkcja grzybka bezpieczeństwa – zatrzymanie z  d</w:t>
      </w:r>
      <w:r>
        <w:rPr>
          <w:rFonts w:ascii="Times New Roman" w:hAnsi="Times New Roman" w:cs="Times New Roman"/>
          <w:sz w:val="20"/>
          <w:szCs w:val="20"/>
        </w:rPr>
        <w:t>owolnej pozycji oraz  prędkości</w:t>
      </w:r>
      <w:r w:rsidRPr="00185841">
        <w:rPr>
          <w:rFonts w:ascii="Times New Roman" w:hAnsi="Times New Roman" w:cs="Times New Roman"/>
          <w:sz w:val="20"/>
          <w:szCs w:val="20"/>
        </w:rPr>
        <w:t xml:space="preserve"> w czasie poniżej 0,2 sek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D8B801F" w14:textId="67634DDF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Symulator  wyposażony  w  nogi stabilizujące  podczas obrotu oraz  koło podporowe do podłączenia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185841">
        <w:rPr>
          <w:rFonts w:ascii="Times New Roman" w:hAnsi="Times New Roman" w:cs="Times New Roman"/>
          <w:sz w:val="20"/>
          <w:szCs w:val="20"/>
        </w:rPr>
        <w:t xml:space="preserve"> pojazdem.</w:t>
      </w:r>
    </w:p>
    <w:p w14:paraId="696738F3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Certyfikat ukończenia szkolenia w zakresie obsługi oraz BHP podczas eksploatacji. </w:t>
      </w:r>
    </w:p>
    <w:p w14:paraId="105438CF" w14:textId="142185FE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Deklaracja CE spełniająca normy maszynowe, kompatybilności elektromagnetycznej oraz niskonapięciowej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D15E270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Badania przeciw porażeniowe potwierdzone przez firmę posiadającą aktualne uprawnienia do tego typu badań. </w:t>
      </w:r>
    </w:p>
    <w:p w14:paraId="144777C2" w14:textId="77777777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Na dostarczony przedmiot zamówienia Wykonawca udzieli gwarancji na okres 12 miesięcy, liczony od wskazanej w protokole przyjęcia – przekazania daty przyjęcia przedmiotu zamówienia.</w:t>
      </w:r>
    </w:p>
    <w:p w14:paraId="23403193" w14:textId="7E4E1250" w:rsidR="00185841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 xml:space="preserve"> Wraz z urządzeniem Wykonawca dostarczy instrukcję obsługi, kartę gwarancyjną, do</w:t>
      </w:r>
      <w:r>
        <w:rPr>
          <w:rFonts w:ascii="Times New Roman" w:hAnsi="Times New Roman" w:cs="Times New Roman"/>
          <w:sz w:val="20"/>
          <w:szCs w:val="20"/>
        </w:rPr>
        <w:t>kumenty do rejestracji pojazdu.</w:t>
      </w:r>
    </w:p>
    <w:p w14:paraId="248C392C" w14:textId="77777777" w:rsid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  <w:szCs w:val="20"/>
        </w:rPr>
        <w:t>wykonawca dostarczy dokumenty potwierdzające legalność użytej karoserii, oraz schematy elektryczne skrzynki steruj</w:t>
      </w:r>
      <w:r>
        <w:rPr>
          <w:rFonts w:ascii="Times New Roman" w:hAnsi="Times New Roman" w:cs="Times New Roman"/>
          <w:sz w:val="20"/>
          <w:szCs w:val="20"/>
        </w:rPr>
        <w:t>ącej oraz oświetlenia pojazdu.</w:t>
      </w:r>
    </w:p>
    <w:p w14:paraId="0774AEA1" w14:textId="144AE8C1" w:rsid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</w:rPr>
        <w:t xml:space="preserve">Możliwość awaryjnego ręcznego obrotu symulatorem w  </w:t>
      </w:r>
      <w:r>
        <w:rPr>
          <w:rFonts w:ascii="Times New Roman" w:hAnsi="Times New Roman" w:cs="Times New Roman"/>
          <w:sz w:val="20"/>
        </w:rPr>
        <w:t xml:space="preserve">razie zaniku zasilania poprzez </w:t>
      </w:r>
      <w:r w:rsidRPr="00185841">
        <w:rPr>
          <w:rFonts w:ascii="Times New Roman" w:hAnsi="Times New Roman" w:cs="Times New Roman"/>
          <w:sz w:val="20"/>
        </w:rPr>
        <w:t>ręczne  obrócenie symulatora bez  użycia siły , umożliwiające przywrócenie symula</w:t>
      </w:r>
      <w:r>
        <w:rPr>
          <w:rFonts w:ascii="Times New Roman" w:hAnsi="Times New Roman" w:cs="Times New Roman"/>
          <w:sz w:val="20"/>
        </w:rPr>
        <w:t xml:space="preserve">tora do pozycji startowej w razie  zaniku </w:t>
      </w:r>
      <w:r w:rsidRPr="00185841">
        <w:rPr>
          <w:rFonts w:ascii="Times New Roman" w:hAnsi="Times New Roman" w:cs="Times New Roman"/>
          <w:sz w:val="20"/>
        </w:rPr>
        <w:t>napięcia</w:t>
      </w:r>
      <w:r>
        <w:rPr>
          <w:rFonts w:ascii="Times New Roman" w:hAnsi="Times New Roman" w:cs="Times New Roman"/>
          <w:sz w:val="20"/>
        </w:rPr>
        <w:t>.</w:t>
      </w:r>
    </w:p>
    <w:p w14:paraId="30153670" w14:textId="2D3703C6" w:rsid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</w:rPr>
        <w:t>Podłoga przyczepy obłożona sklejką  antypoślizgową  wodoodporną  wraz  z  uchwytami  moco</w:t>
      </w:r>
      <w:r>
        <w:rPr>
          <w:rFonts w:ascii="Times New Roman" w:hAnsi="Times New Roman" w:cs="Times New Roman"/>
          <w:sz w:val="20"/>
        </w:rPr>
        <w:t>wania ładunku o  nośności 500kg.</w:t>
      </w:r>
    </w:p>
    <w:p w14:paraId="39426077" w14:textId="67AF553A" w:rsid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</w:rPr>
        <w:t>Dostarczony pojazd  w kolorze wskazanym przez zamawiającego + oklejenie logotypami zamawiającego +</w:t>
      </w:r>
      <w:r>
        <w:rPr>
          <w:rFonts w:ascii="Times New Roman" w:hAnsi="Times New Roman" w:cs="Times New Roman"/>
          <w:sz w:val="20"/>
        </w:rPr>
        <w:t> </w:t>
      </w:r>
      <w:r w:rsidRPr="00185841">
        <w:rPr>
          <w:rFonts w:ascii="Times New Roman" w:hAnsi="Times New Roman" w:cs="Times New Roman"/>
          <w:sz w:val="20"/>
        </w:rPr>
        <w:t xml:space="preserve"> wykonanie projektu graficznego  przez  wykonawcę do a</w:t>
      </w:r>
      <w:r>
        <w:rPr>
          <w:rFonts w:ascii="Times New Roman" w:hAnsi="Times New Roman" w:cs="Times New Roman"/>
          <w:sz w:val="20"/>
        </w:rPr>
        <w:t>kceptacji  przez  zamawiającego.</w:t>
      </w:r>
    </w:p>
    <w:p w14:paraId="13108E45" w14:textId="40ADC0E6" w:rsid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85841">
        <w:rPr>
          <w:rFonts w:ascii="Times New Roman" w:hAnsi="Times New Roman" w:cs="Times New Roman"/>
          <w:sz w:val="20"/>
        </w:rPr>
        <w:t>Pasy zabezpieczające symulator w czasie transportu w  ilości 4 sztuki o nośności 2000 kg</w:t>
      </w:r>
      <w:r>
        <w:rPr>
          <w:rFonts w:ascii="Times New Roman" w:hAnsi="Times New Roman" w:cs="Times New Roman"/>
          <w:sz w:val="20"/>
        </w:rPr>
        <w:t>.</w:t>
      </w:r>
      <w:r w:rsidRPr="00185841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</w:p>
    <w:p w14:paraId="221CA5CA" w14:textId="7D2EB046" w:rsidR="006E36AC" w:rsidRPr="00185841" w:rsidRDefault="00185841" w:rsidP="00185841">
      <w:pPr>
        <w:numPr>
          <w:ilvl w:val="0"/>
          <w:numId w:val="13"/>
        </w:numPr>
        <w:tabs>
          <w:tab w:val="clear" w:pos="707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18"/>
          <w:szCs w:val="20"/>
        </w:rPr>
      </w:pPr>
      <w:r w:rsidRPr="00185841">
        <w:rPr>
          <w:rFonts w:ascii="Times New Roman" w:hAnsi="Times New Roman" w:cs="Times New Roman"/>
          <w:sz w:val="20"/>
        </w:rPr>
        <w:t>Transport  do siedzimy zamawiającego  wraz  ze szkoleniem potwierdzonym certyfikatem.</w:t>
      </w:r>
    </w:p>
    <w:sectPr w:rsidR="006E36AC" w:rsidRPr="0018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85841"/>
    <w:rsid w:val="001A1239"/>
    <w:rsid w:val="003A38B1"/>
    <w:rsid w:val="006E36AC"/>
    <w:rsid w:val="007D206F"/>
    <w:rsid w:val="00886241"/>
    <w:rsid w:val="008D7BFF"/>
    <w:rsid w:val="00945755"/>
    <w:rsid w:val="00A07BF2"/>
    <w:rsid w:val="00B31627"/>
    <w:rsid w:val="00DF1ACF"/>
    <w:rsid w:val="00E2138E"/>
    <w:rsid w:val="00E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6</cp:revision>
  <dcterms:created xsi:type="dcterms:W3CDTF">2023-06-12T05:34:00Z</dcterms:created>
  <dcterms:modified xsi:type="dcterms:W3CDTF">2023-06-12T10:05:00Z</dcterms:modified>
</cp:coreProperties>
</file>