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5B3398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O</w:t>
      </w:r>
      <w:r w:rsidR="009432E2">
        <w:rPr>
          <w:rFonts w:ascii="Times New Roman" w:hAnsi="Times New Roman" w:cs="Arial"/>
          <w:b/>
          <w:sz w:val="20"/>
          <w:szCs w:val="20"/>
        </w:rPr>
        <w:t>pis przedmiotu zamówienia oraz z</w:t>
      </w:r>
      <w:bookmarkStart w:id="0" w:name="_GoBack"/>
      <w:bookmarkEnd w:id="0"/>
      <w:r w:rsidR="008622A0">
        <w:rPr>
          <w:rFonts w:ascii="Times New Roman" w:hAnsi="Times New Roman" w:cs="Arial"/>
          <w:b/>
          <w:sz w:val="20"/>
          <w:szCs w:val="20"/>
        </w:rPr>
        <w:t xml:space="preserve">estawienie aktualnych obiektów /punktów poboru </w:t>
      </w:r>
      <w:bookmarkStart w:id="1" w:name="__DdeLink__8119_3099037748"/>
      <w:bookmarkEnd w:id="1"/>
      <w:r w:rsidR="008622A0">
        <w:rPr>
          <w:rFonts w:ascii="Times New Roman" w:hAnsi="Times New Roman" w:cs="Arial"/>
          <w:b/>
          <w:sz w:val="20"/>
          <w:szCs w:val="20"/>
        </w:rPr>
        <w:t>Word Katowice</w:t>
      </w:r>
    </w:p>
    <w:p w:rsidR="009D772C" w:rsidRDefault="009D772C" w:rsidP="009D772C">
      <w:pPr>
        <w:pStyle w:val="Akapitzlist"/>
        <w:numPr>
          <w:ilvl w:val="0"/>
          <w:numId w:val="3"/>
        </w:numPr>
        <w:spacing w:after="0" w:line="360" w:lineRule="auto"/>
        <w:ind w:left="284" w:hanging="284"/>
        <w:contextualSpacing w:val="0"/>
        <w:rPr>
          <w:rFonts w:ascii="Times New Roman" w:hAnsi="Times New Roman" w:cs="Arial"/>
          <w:b/>
          <w:sz w:val="20"/>
          <w:szCs w:val="20"/>
          <w:u w:val="single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Lokalizacje:</w:t>
      </w:r>
    </w:p>
    <w:p w:rsidR="009D772C" w:rsidRPr="00EA7A10" w:rsidRDefault="009D772C" w:rsidP="00E5608B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4C68">
        <w:rPr>
          <w:rFonts w:ascii="Times New Roman" w:hAnsi="Times New Roman" w:cs="Arial"/>
          <w:b/>
          <w:sz w:val="20"/>
          <w:szCs w:val="20"/>
          <w:u w:val="single"/>
        </w:rPr>
        <w:t>Część I</w:t>
      </w:r>
      <w:r>
        <w:rPr>
          <w:rFonts w:ascii="Times New Roman" w:hAnsi="Times New Roman" w:cs="Arial"/>
          <w:b/>
          <w:sz w:val="20"/>
          <w:szCs w:val="20"/>
          <w:u w:val="single"/>
        </w:rPr>
        <w:t xml:space="preserve"> </w:t>
      </w:r>
      <w:r w:rsidRPr="000A4C68">
        <w:rPr>
          <w:rFonts w:ascii="Times New Roman" w:hAnsi="Times New Roman" w:cs="Arial"/>
          <w:sz w:val="20"/>
          <w:szCs w:val="20"/>
        </w:rPr>
        <w:t xml:space="preserve">Lokalizacja: 40-507 Katowice, ul. Francuska </w:t>
      </w:r>
      <w:r w:rsidRPr="00EA7A10">
        <w:rPr>
          <w:rFonts w:ascii="Times New Roman" w:hAnsi="Times New Roman" w:cs="Times New Roman"/>
          <w:sz w:val="20"/>
          <w:szCs w:val="20"/>
        </w:rPr>
        <w:t>78 – grupa taryfowa W– 4_ZA,</w:t>
      </w:r>
      <w:r>
        <w:rPr>
          <w:rFonts w:ascii="Times New Roman" w:hAnsi="Times New Roman" w:cs="Times New Roman"/>
          <w:sz w:val="20"/>
          <w:szCs w:val="20"/>
        </w:rPr>
        <w:t xml:space="preserve"> nr PPG</w:t>
      </w:r>
      <w:r w:rsidR="00E5608B">
        <w:rPr>
          <w:rFonts w:ascii="Times New Roman" w:hAnsi="Times New Roman" w:cs="Times New Roman"/>
          <w:sz w:val="20"/>
          <w:szCs w:val="20"/>
        </w:rPr>
        <w:t xml:space="preserve"> 8</w:t>
      </w:r>
      <w:r w:rsidR="00E5608B" w:rsidRPr="00E5608B">
        <w:rPr>
          <w:rFonts w:ascii="Times New Roman" w:hAnsi="Times New Roman" w:cs="Times New Roman"/>
          <w:sz w:val="20"/>
          <w:szCs w:val="20"/>
        </w:rPr>
        <w:t>018590365500003418203</w:t>
      </w:r>
    </w:p>
    <w:p w:rsidR="009D772C" w:rsidRPr="00EA7A10" w:rsidRDefault="009D772C" w:rsidP="009D772C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A7A10">
        <w:rPr>
          <w:rFonts w:ascii="Times New Roman" w:hAnsi="Times New Roman" w:cs="Times New Roman"/>
          <w:b/>
          <w:sz w:val="20"/>
          <w:szCs w:val="20"/>
          <w:u w:val="single"/>
        </w:rPr>
        <w:t>Część II</w:t>
      </w:r>
      <w:r w:rsidRPr="00EA7A10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EA7A10">
        <w:rPr>
          <w:rFonts w:ascii="Times New Roman" w:hAnsi="Times New Roman" w:cs="Times New Roman"/>
          <w:sz w:val="20"/>
          <w:szCs w:val="20"/>
        </w:rPr>
        <w:t>Lokalizacja: 40-507 Katowice, ul. Francuska 78 – grupa taryfowa W- 5.1,</w:t>
      </w:r>
      <w:r>
        <w:rPr>
          <w:rFonts w:ascii="Times New Roman" w:hAnsi="Times New Roman" w:cs="Times New Roman"/>
          <w:sz w:val="20"/>
          <w:szCs w:val="20"/>
        </w:rPr>
        <w:t xml:space="preserve"> nr PPG </w:t>
      </w:r>
      <w:r w:rsidRPr="009D772C">
        <w:rPr>
          <w:rFonts w:ascii="Times New Roman" w:hAnsi="Times New Roman" w:cs="Times New Roman"/>
          <w:sz w:val="20"/>
          <w:szCs w:val="10"/>
        </w:rPr>
        <w:t>8018590365500000053612</w:t>
      </w:r>
    </w:p>
    <w:p w:rsidR="009D772C" w:rsidRPr="00EA7A10" w:rsidRDefault="009D772C" w:rsidP="00E5608B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A7A10">
        <w:rPr>
          <w:rFonts w:ascii="Times New Roman" w:hAnsi="Times New Roman" w:cs="Times New Roman"/>
          <w:b/>
          <w:sz w:val="20"/>
          <w:szCs w:val="20"/>
          <w:u w:val="single"/>
        </w:rPr>
        <w:t>Część III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EA7A10">
        <w:rPr>
          <w:rFonts w:ascii="Times New Roman" w:hAnsi="Times New Roman" w:cs="Times New Roman"/>
          <w:sz w:val="20"/>
          <w:szCs w:val="20"/>
        </w:rPr>
        <w:t>Lokalizacja: 44-207 Rybnik  ul. Ekonomiczna 21 – grupa taryfowa W- </w:t>
      </w:r>
      <w:r>
        <w:rPr>
          <w:rFonts w:ascii="Times New Roman" w:hAnsi="Times New Roman" w:cs="Times New Roman"/>
          <w:sz w:val="20"/>
          <w:szCs w:val="20"/>
        </w:rPr>
        <w:t>3.6</w:t>
      </w:r>
      <w:r w:rsidRPr="00EA7A1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nr PPG</w:t>
      </w:r>
      <w:r w:rsidR="00E5608B">
        <w:rPr>
          <w:rFonts w:ascii="Times New Roman" w:hAnsi="Times New Roman" w:cs="Times New Roman"/>
          <w:sz w:val="20"/>
          <w:szCs w:val="20"/>
        </w:rPr>
        <w:t xml:space="preserve"> </w:t>
      </w:r>
      <w:r w:rsidR="00E5608B" w:rsidRPr="00E5608B">
        <w:rPr>
          <w:rFonts w:ascii="Times New Roman" w:hAnsi="Times New Roman" w:cs="Times New Roman"/>
          <w:sz w:val="20"/>
          <w:szCs w:val="20"/>
        </w:rPr>
        <w:t>8018590365500011442009</w:t>
      </w:r>
    </w:p>
    <w:p w:rsidR="009D772C" w:rsidRPr="009D772C" w:rsidRDefault="009D772C" w:rsidP="009D7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C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9D772C" w:rsidRDefault="009D772C" w:rsidP="009D77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Prognozowane zużycie gazu dla wszystkich prz</w:t>
      </w:r>
      <w:r>
        <w:rPr>
          <w:rFonts w:ascii="Times New Roman" w:hAnsi="Times New Roman" w:cs="Times New Roman"/>
          <w:sz w:val="20"/>
          <w:szCs w:val="20"/>
        </w:rPr>
        <w:t>yłączy zawiera formularz cenowy,</w:t>
      </w:r>
    </w:p>
    <w:p w:rsidR="009D772C" w:rsidRDefault="009D772C" w:rsidP="009D77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Prognozowane zużycie gazu służy wyłącznie do porównania ofert i w żadnym przypadku nie stanowi ze strony Zamawiającego zobowiązania do zakupu gazu w podanej ilości. Wykonawcy nie będzie przysługiwało jakiekolwiek roszczenie z tytułu niepobrania przez Zamawiającego przewidywanej ilości paliwa gazowego w czasie trwania umowy.</w:t>
      </w:r>
    </w:p>
    <w:p w:rsidR="009D772C" w:rsidRPr="009D772C" w:rsidRDefault="009D772C" w:rsidP="009D77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Wymagania dotyczące realizacji zamówienia:</w:t>
      </w:r>
    </w:p>
    <w:p w:rsidR="009D772C" w:rsidRDefault="009D772C" w:rsidP="009D77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dostawa paliwa gazowego odbywać się będzie na warunkach określonych w ustawie Prawo energetyczne i Kodeks cywilny oraz przepisach wykonawczych wydanych na ich podstawie,</w:t>
      </w:r>
    </w:p>
    <w:p w:rsidR="009D772C" w:rsidRDefault="009D772C" w:rsidP="009D77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dostarczane paliwo gazowe musi spełniać standardy techniczne zgodnie z zapisami ustawy Prawo energetyczne, aktami wyk</w:t>
      </w:r>
      <w:r>
        <w:rPr>
          <w:rFonts w:ascii="Times New Roman" w:hAnsi="Times New Roman" w:cs="Times New Roman"/>
          <w:sz w:val="20"/>
          <w:szCs w:val="20"/>
        </w:rPr>
        <w:t>onawczymi oraz Polskimi Normami,</w:t>
      </w:r>
    </w:p>
    <w:p w:rsidR="009D772C" w:rsidRDefault="009D772C" w:rsidP="009D77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stawka zaoferowana przez Wykonawcę nie będzie podlegała zmianom przez okres realizacji zamówienia, z wyjątkiem:</w:t>
      </w:r>
    </w:p>
    <w:p w:rsidR="009D772C" w:rsidRDefault="009D772C" w:rsidP="009D77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C">
        <w:rPr>
          <w:rFonts w:ascii="Times New Roman" w:hAnsi="Times New Roman" w:cs="Times New Roman"/>
          <w:sz w:val="20"/>
          <w:szCs w:val="20"/>
        </w:rPr>
        <w:t>w przypadku zmiany stawki podatku VAT, zmiany stawki podatku akcyzowego, stawek opłat dystrybucyjnych. Zmiany będą obowiązywały od dnia wejścia w życie nowych przepisów i nie będą wymagały zgody Zamawiającego w formie aneksu,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72C">
        <w:rPr>
          <w:rFonts w:ascii="Times New Roman" w:hAnsi="Times New Roman" w:cs="Times New Roman"/>
          <w:sz w:val="20"/>
          <w:szCs w:val="20"/>
        </w:rPr>
        <w:t>w przypadku, jeśli konieczność wprowadzenia zmian umowy wynika ze zmiany taryfy OSD zatwierdzonej przez Prezesa Urzędu Regulacji Energetyki.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72C">
        <w:rPr>
          <w:rFonts w:ascii="Times New Roman" w:hAnsi="Times New Roman" w:cs="Times New Roman"/>
          <w:sz w:val="20"/>
          <w:szCs w:val="20"/>
        </w:rPr>
        <w:t>O wszystkich zmianach cen Wykonawca powiadomi Zamawiającego,</w:t>
      </w:r>
    </w:p>
    <w:p w:rsidR="005B3398" w:rsidRDefault="009D772C" w:rsidP="009D77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rozliczenia za dostarczone paliwo gazowe i dystrybucję odbywać się będą na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podstawie odczytów wskazań układu pomiarowo-rozliczeniowego. Podstawą zapłaty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będzie faktura wystawiona przez Wykonawcę. Zapłata należności nastąpi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 xml:space="preserve">w terminie do </w:t>
      </w:r>
      <w:r w:rsidR="005B3398" w:rsidRPr="005B3398">
        <w:rPr>
          <w:rFonts w:ascii="Times New Roman" w:hAnsi="Times New Roman" w:cs="Times New Roman"/>
          <w:sz w:val="20"/>
          <w:szCs w:val="20"/>
        </w:rPr>
        <w:t>14</w:t>
      </w:r>
      <w:r w:rsidRPr="005B3398">
        <w:rPr>
          <w:rFonts w:ascii="Times New Roman" w:hAnsi="Times New Roman" w:cs="Times New Roman"/>
          <w:sz w:val="20"/>
          <w:szCs w:val="20"/>
        </w:rPr>
        <w:t xml:space="preserve"> dni od daty otrzymania (daty wpływu) przez Zamawiającego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prawidłowo wystawionej faktury VAT</w:t>
      </w:r>
      <w:r w:rsidR="005B3398">
        <w:rPr>
          <w:rFonts w:ascii="Times New Roman" w:hAnsi="Times New Roman" w:cs="Times New Roman"/>
          <w:sz w:val="20"/>
          <w:szCs w:val="20"/>
        </w:rPr>
        <w:t>,</w:t>
      </w:r>
    </w:p>
    <w:p w:rsidR="005B3398" w:rsidRDefault="009D772C" w:rsidP="009D77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Zamawiający wyrażą zgodę na wystawianie faktur drogą elektroniczną (e-faktura)</w:t>
      </w:r>
      <w:r w:rsidR="005B3398">
        <w:rPr>
          <w:rFonts w:ascii="Times New Roman" w:hAnsi="Times New Roman" w:cs="Times New Roman"/>
          <w:sz w:val="20"/>
          <w:szCs w:val="20"/>
        </w:rPr>
        <w:t>,</w:t>
      </w:r>
    </w:p>
    <w:p w:rsidR="009D772C" w:rsidRPr="005B3398" w:rsidRDefault="009D772C" w:rsidP="005B33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Inne informacje:</w:t>
      </w:r>
    </w:p>
    <w:p w:rsidR="005B3398" w:rsidRDefault="009D772C" w:rsidP="009D772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Zamawiający udostępni na wniosek Wykonawcy, któremu zostanie udzielone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zamówienie wszelkie niezbędne dane do przeprowadzenia procedury zmiany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sprzedawcy gazu. Dane do przeprowadzenia procedury zmiany sprzedawcy zostaną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przekazane Wykonawcy po wybraniu najkorzystniejszej oferty,</w:t>
      </w:r>
    </w:p>
    <w:p w:rsidR="005B3398" w:rsidRDefault="009D772C" w:rsidP="009D772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Zamawiający wymaga, aby ewentualna zmiana sprzedawcy gazu ziemnego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przebiegła dla Zamawiającego bez zakłóceń w dostawie paliwa gazowego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obejmującej sprzedaż i dystrybucję, dlatego Wykonawca zobowiązany jest do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 xml:space="preserve">dopełnienia w imieniu Zamawiającego wszelkich formalności </w:t>
      </w:r>
      <w:r w:rsidRPr="005B3398">
        <w:rPr>
          <w:rFonts w:ascii="Times New Roman" w:hAnsi="Times New Roman" w:cs="Times New Roman"/>
          <w:sz w:val="20"/>
          <w:szCs w:val="20"/>
        </w:rPr>
        <w:lastRenderedPageBreak/>
        <w:t>związanych ze zmianą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sprzedawcy paliwa gazowego, na podstawie ewentualnego odrębnie udzielonego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pełnomocnictwa,</w:t>
      </w:r>
    </w:p>
    <w:p w:rsidR="005B3398" w:rsidRDefault="009D772C" w:rsidP="009D772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Zamawiający informuje, że jest zwolniony z podatku akcyzowego,</w:t>
      </w:r>
    </w:p>
    <w:p w:rsidR="005B3398" w:rsidRDefault="009D772C" w:rsidP="000E78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 xml:space="preserve">Zamawiający informuje, że dotychczasowa umowa zawarta jest z </w:t>
      </w:r>
      <w:r w:rsidR="005B3398">
        <w:rPr>
          <w:rFonts w:ascii="Times New Roman" w:hAnsi="Times New Roman" w:cs="Times New Roman"/>
          <w:sz w:val="20"/>
          <w:szCs w:val="20"/>
        </w:rPr>
        <w:t>:</w:t>
      </w:r>
    </w:p>
    <w:p w:rsidR="009D772C" w:rsidRDefault="005B3398" w:rsidP="005B33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68">
        <w:rPr>
          <w:rFonts w:ascii="Times New Roman" w:hAnsi="Times New Roman" w:cs="Arial"/>
          <w:b/>
          <w:sz w:val="20"/>
          <w:szCs w:val="20"/>
          <w:u w:val="single"/>
        </w:rPr>
        <w:t>Część I</w:t>
      </w:r>
      <w:r>
        <w:rPr>
          <w:rFonts w:ascii="Times New Roman" w:hAnsi="Times New Roman" w:cs="Arial"/>
          <w:b/>
          <w:sz w:val="20"/>
          <w:szCs w:val="20"/>
          <w:u w:val="single"/>
        </w:rPr>
        <w:t xml:space="preserve"> </w:t>
      </w:r>
      <w:r w:rsidRPr="000A4C68">
        <w:rPr>
          <w:rFonts w:ascii="Times New Roman" w:hAnsi="Times New Roman" w:cs="Arial"/>
          <w:sz w:val="20"/>
          <w:szCs w:val="20"/>
        </w:rPr>
        <w:t xml:space="preserve">Lokalizacja: 40-507 Katowice, ul. Francuska </w:t>
      </w:r>
      <w:r w:rsidRPr="00EA7A10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772C" w:rsidRPr="005B3398">
        <w:rPr>
          <w:rFonts w:ascii="Times New Roman" w:hAnsi="Times New Roman" w:cs="Times New Roman"/>
          <w:sz w:val="20"/>
          <w:szCs w:val="20"/>
        </w:rPr>
        <w:t>PGNiG na czas</w:t>
      </w:r>
      <w:r w:rsidRPr="005B33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nieoznaczony,</w:t>
      </w:r>
    </w:p>
    <w:p w:rsidR="005B3398" w:rsidRPr="005B3398" w:rsidRDefault="005B3398" w:rsidP="005B33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68">
        <w:rPr>
          <w:rFonts w:ascii="Times New Roman" w:hAnsi="Times New Roman" w:cs="Arial"/>
          <w:b/>
          <w:sz w:val="20"/>
          <w:szCs w:val="20"/>
          <w:u w:val="single"/>
        </w:rPr>
        <w:t>Część I</w:t>
      </w:r>
      <w:r>
        <w:rPr>
          <w:rFonts w:ascii="Times New Roman" w:hAnsi="Times New Roman" w:cs="Arial"/>
          <w:b/>
          <w:sz w:val="20"/>
          <w:szCs w:val="20"/>
          <w:u w:val="single"/>
        </w:rPr>
        <w:t xml:space="preserve">I </w:t>
      </w:r>
      <w:r w:rsidRPr="000A4C68">
        <w:rPr>
          <w:rFonts w:ascii="Times New Roman" w:hAnsi="Times New Roman" w:cs="Arial"/>
          <w:sz w:val="20"/>
          <w:szCs w:val="20"/>
        </w:rPr>
        <w:t xml:space="preserve">Lokalizacja: 40-507 Katowice, ul. Francuska </w:t>
      </w:r>
      <w:r w:rsidRPr="00EA7A10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14"/>
        </w:rPr>
        <w:t>VEOLIA ENERGY CONTRACTING POLAND SP. Z O.O.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 xml:space="preserve">na czas </w:t>
      </w:r>
      <w:r>
        <w:rPr>
          <w:rFonts w:ascii="Times New Roman" w:hAnsi="Times New Roman" w:cs="Times New Roman"/>
          <w:sz w:val="20"/>
          <w:szCs w:val="20"/>
        </w:rPr>
        <w:t>oznaczony,</w:t>
      </w:r>
    </w:p>
    <w:p w:rsidR="005B3398" w:rsidRDefault="005B3398" w:rsidP="005B33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68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 w:cs="Arial"/>
          <w:b/>
          <w:sz w:val="20"/>
          <w:szCs w:val="20"/>
          <w:u w:val="single"/>
        </w:rPr>
        <w:t>II</w:t>
      </w:r>
      <w:r w:rsidRPr="000A4C68">
        <w:rPr>
          <w:rFonts w:ascii="Times New Roman" w:hAnsi="Times New Roman" w:cs="Arial"/>
          <w:b/>
          <w:sz w:val="20"/>
          <w:szCs w:val="20"/>
          <w:u w:val="single"/>
        </w:rPr>
        <w:t>I</w:t>
      </w:r>
      <w:r>
        <w:rPr>
          <w:rFonts w:ascii="Times New Roman" w:hAnsi="Times New Roman" w:cs="Arial"/>
          <w:b/>
          <w:sz w:val="20"/>
          <w:szCs w:val="20"/>
          <w:u w:val="single"/>
        </w:rPr>
        <w:t xml:space="preserve"> </w:t>
      </w:r>
      <w:r w:rsidRPr="000A4C68">
        <w:rPr>
          <w:rFonts w:ascii="Times New Roman" w:hAnsi="Times New Roman" w:cs="Arial"/>
          <w:sz w:val="20"/>
          <w:szCs w:val="20"/>
        </w:rPr>
        <w:t xml:space="preserve">Lokalizacja: 40-507 Katowice, ul. Francuska </w:t>
      </w:r>
      <w:r w:rsidRPr="00EA7A10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 xml:space="preserve">PGNiG na czas </w:t>
      </w:r>
      <w:r>
        <w:rPr>
          <w:rFonts w:ascii="Times New Roman" w:hAnsi="Times New Roman" w:cs="Times New Roman"/>
          <w:sz w:val="20"/>
          <w:szCs w:val="20"/>
        </w:rPr>
        <w:t>nieoznaczony,</w:t>
      </w:r>
    </w:p>
    <w:p w:rsidR="009D772C" w:rsidRPr="005B3398" w:rsidRDefault="009D772C" w:rsidP="006524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Zamawiający informuje, że nie ma zawartych umów w ramach akcji promocyjnych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lojalnościowych, które uniemożliwiają zawarcie nowej umowy w terminach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wskazanych w zapytaniu ofertowym.</w:t>
      </w:r>
    </w:p>
    <w:p w:rsidR="009D772C" w:rsidRPr="005B3398" w:rsidRDefault="005B3398" w:rsidP="005B33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398">
        <w:rPr>
          <w:rFonts w:ascii="Times New Roman" w:hAnsi="Times New Roman" w:cs="Times New Roman"/>
          <w:b/>
          <w:sz w:val="20"/>
          <w:szCs w:val="20"/>
        </w:rPr>
        <w:t>Termin wykonania zamówienia</w:t>
      </w:r>
    </w:p>
    <w:p w:rsidR="005B3398" w:rsidRDefault="009D772C" w:rsidP="009D77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Wymagany termin wykonania zamówienia: umow</w:t>
      </w:r>
      <w:r w:rsidR="005B3398" w:rsidRPr="005B3398">
        <w:rPr>
          <w:rFonts w:ascii="Times New Roman" w:hAnsi="Times New Roman" w:cs="Times New Roman"/>
          <w:sz w:val="20"/>
          <w:szCs w:val="20"/>
        </w:rPr>
        <w:t>y</w:t>
      </w:r>
      <w:r w:rsidRPr="005B3398">
        <w:rPr>
          <w:rFonts w:ascii="Times New Roman" w:hAnsi="Times New Roman" w:cs="Times New Roman"/>
          <w:sz w:val="20"/>
          <w:szCs w:val="20"/>
        </w:rPr>
        <w:t xml:space="preserve"> na kompleksową dostawę paliwa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 xml:space="preserve">gazowego </w:t>
      </w:r>
      <w:r w:rsidR="005B3398">
        <w:rPr>
          <w:rFonts w:ascii="Times New Roman" w:hAnsi="Times New Roman" w:cs="Times New Roman"/>
          <w:sz w:val="20"/>
          <w:szCs w:val="20"/>
        </w:rPr>
        <w:t xml:space="preserve">dla części I, II, III </w:t>
      </w:r>
      <w:r w:rsidRPr="005B3398">
        <w:rPr>
          <w:rFonts w:ascii="Times New Roman" w:hAnsi="Times New Roman" w:cs="Times New Roman"/>
          <w:sz w:val="20"/>
          <w:szCs w:val="20"/>
        </w:rPr>
        <w:t>zostan</w:t>
      </w:r>
      <w:r w:rsidR="005B3398">
        <w:rPr>
          <w:rFonts w:ascii="Times New Roman" w:hAnsi="Times New Roman" w:cs="Times New Roman"/>
          <w:sz w:val="20"/>
          <w:szCs w:val="20"/>
        </w:rPr>
        <w:t>ą</w:t>
      </w:r>
      <w:r w:rsidRPr="005B3398">
        <w:rPr>
          <w:rFonts w:ascii="Times New Roman" w:hAnsi="Times New Roman" w:cs="Times New Roman"/>
          <w:sz w:val="20"/>
          <w:szCs w:val="20"/>
        </w:rPr>
        <w:t xml:space="preserve"> zawart</w:t>
      </w:r>
      <w:r w:rsidR="005B3398">
        <w:rPr>
          <w:rFonts w:ascii="Times New Roman" w:hAnsi="Times New Roman" w:cs="Times New Roman"/>
          <w:sz w:val="20"/>
          <w:szCs w:val="20"/>
        </w:rPr>
        <w:t xml:space="preserve">e od 1.01.2025 </w:t>
      </w:r>
      <w:r w:rsidR="009432E2">
        <w:rPr>
          <w:rFonts w:ascii="Times New Roman" w:hAnsi="Times New Roman" w:cs="Times New Roman"/>
          <w:sz w:val="20"/>
          <w:szCs w:val="20"/>
        </w:rPr>
        <w:t>r. na okres 24</w:t>
      </w:r>
      <w:r w:rsidRPr="005B3398">
        <w:rPr>
          <w:rFonts w:ascii="Times New Roman" w:hAnsi="Times New Roman" w:cs="Times New Roman"/>
          <w:sz w:val="20"/>
          <w:szCs w:val="20"/>
        </w:rPr>
        <w:t xml:space="preserve"> miesięcy.</w:t>
      </w:r>
    </w:p>
    <w:p w:rsidR="009D772C" w:rsidRPr="005B3398" w:rsidRDefault="009D772C" w:rsidP="0050780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W sprawach nieuregulowanych umową kompleksową mają zastosowanie</w:t>
      </w:r>
      <w:r w:rsid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w szczególności następujące akty prawne:</w:t>
      </w:r>
    </w:p>
    <w:p w:rsidR="005B3398" w:rsidRDefault="009D772C" w:rsidP="009D77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Ustawa z dnia 10 kwietnia 1997r. prawo energetyczne (Dz. U. 2021r., poz. 716 ze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zm.) wraz z przepisami wykonawczymi,</w:t>
      </w:r>
    </w:p>
    <w:p w:rsidR="009D772C" w:rsidRPr="005B3398" w:rsidRDefault="009D772C" w:rsidP="009D77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Ustawa z dnia 23 kwietnia 1964r. Kodeks cywilny (Dz. U. 2021r., poz. 1509 ze zm.)</w:t>
      </w:r>
    </w:p>
    <w:p w:rsidR="009621D2" w:rsidRPr="005B3398" w:rsidRDefault="009D772C" w:rsidP="008E6B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398">
        <w:rPr>
          <w:rFonts w:ascii="Times New Roman" w:hAnsi="Times New Roman" w:cs="Times New Roman"/>
          <w:sz w:val="20"/>
          <w:szCs w:val="20"/>
        </w:rPr>
        <w:t>Strony zobowiązują się nie ujawniać osobom trzecim treści umowy kompleksowej bez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zgody drugiej Strony. Treść umowy może być ujawniona osobom trzecim w zakresie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wymaganym przepisami prawa lub w trakcie postępowania sądowego, mediacyjnego,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arbitrażowego lub administracyjnego z udziałem danej Strony, jak również profesjonalnym</w:t>
      </w:r>
      <w:r w:rsidR="005B3398" w:rsidRP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doradcom danej Strony po uprzednim zobowiązaniu ich do nie ujawniania treści umowy</w:t>
      </w:r>
      <w:r w:rsidR="005B3398">
        <w:rPr>
          <w:rFonts w:ascii="Times New Roman" w:hAnsi="Times New Roman" w:cs="Times New Roman"/>
          <w:sz w:val="20"/>
          <w:szCs w:val="20"/>
        </w:rPr>
        <w:t xml:space="preserve"> </w:t>
      </w:r>
      <w:r w:rsidRPr="005B3398">
        <w:rPr>
          <w:rFonts w:ascii="Times New Roman" w:hAnsi="Times New Roman" w:cs="Times New Roman"/>
          <w:sz w:val="20"/>
          <w:szCs w:val="20"/>
        </w:rPr>
        <w:t>kompleksowej.</w:t>
      </w:r>
    </w:p>
    <w:sectPr w:rsidR="009621D2" w:rsidRPr="005B339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58" w:rsidRDefault="009B6058">
      <w:pPr>
        <w:spacing w:after="0" w:line="240" w:lineRule="auto"/>
      </w:pPr>
      <w:r>
        <w:separator/>
      </w:r>
    </w:p>
  </w:endnote>
  <w:endnote w:type="continuationSeparator" w:id="0">
    <w:p w:rsidR="009B6058" w:rsidRDefault="009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32E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58" w:rsidRDefault="009B6058">
      <w:pPr>
        <w:spacing w:after="0" w:line="240" w:lineRule="auto"/>
      </w:pPr>
      <w:r>
        <w:separator/>
      </w:r>
    </w:p>
  </w:footnote>
  <w:footnote w:type="continuationSeparator" w:id="0">
    <w:p w:rsidR="009B6058" w:rsidRDefault="009B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37A"/>
    <w:multiLevelType w:val="hybridMultilevel"/>
    <w:tmpl w:val="CFDA5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BCC"/>
    <w:multiLevelType w:val="hybridMultilevel"/>
    <w:tmpl w:val="99A4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99C"/>
    <w:multiLevelType w:val="hybridMultilevel"/>
    <w:tmpl w:val="3DB6C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CE7"/>
    <w:multiLevelType w:val="hybridMultilevel"/>
    <w:tmpl w:val="B17A3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E08"/>
    <w:multiLevelType w:val="hybridMultilevel"/>
    <w:tmpl w:val="37485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3B55"/>
    <w:multiLevelType w:val="hybridMultilevel"/>
    <w:tmpl w:val="E5163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66B66"/>
    <w:multiLevelType w:val="hybridMultilevel"/>
    <w:tmpl w:val="BA7CA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600F"/>
    <w:multiLevelType w:val="hybridMultilevel"/>
    <w:tmpl w:val="BA7CA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5EBD"/>
    <w:multiLevelType w:val="hybridMultilevel"/>
    <w:tmpl w:val="639A7228"/>
    <w:lvl w:ilvl="0" w:tplc="BB5A0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DA65E0"/>
    <w:multiLevelType w:val="hybridMultilevel"/>
    <w:tmpl w:val="B4A0F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5CD4"/>
    <w:multiLevelType w:val="hybridMultilevel"/>
    <w:tmpl w:val="09124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0517BD"/>
    <w:rsid w:val="000C7D7A"/>
    <w:rsid w:val="00296024"/>
    <w:rsid w:val="002B6CAE"/>
    <w:rsid w:val="0031725A"/>
    <w:rsid w:val="0036591C"/>
    <w:rsid w:val="003C058D"/>
    <w:rsid w:val="005B3398"/>
    <w:rsid w:val="005C2E48"/>
    <w:rsid w:val="006105FD"/>
    <w:rsid w:val="006412EF"/>
    <w:rsid w:val="00654C84"/>
    <w:rsid w:val="006673C0"/>
    <w:rsid w:val="006819B1"/>
    <w:rsid w:val="0073543F"/>
    <w:rsid w:val="007E52F3"/>
    <w:rsid w:val="008622A0"/>
    <w:rsid w:val="008D0F95"/>
    <w:rsid w:val="009432E2"/>
    <w:rsid w:val="00950FBE"/>
    <w:rsid w:val="009621D2"/>
    <w:rsid w:val="009B6058"/>
    <w:rsid w:val="009C0254"/>
    <w:rsid w:val="009C536C"/>
    <w:rsid w:val="009D772C"/>
    <w:rsid w:val="00B054B2"/>
    <w:rsid w:val="00B05784"/>
    <w:rsid w:val="00B11A81"/>
    <w:rsid w:val="00C26598"/>
    <w:rsid w:val="00C5186F"/>
    <w:rsid w:val="00C723EC"/>
    <w:rsid w:val="00C95175"/>
    <w:rsid w:val="00CE0490"/>
    <w:rsid w:val="00E5608B"/>
    <w:rsid w:val="00EF6B8D"/>
    <w:rsid w:val="00F22DD7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9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2F95-F1A6-4CC6-93ED-71E91660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Ewa Gawlik</cp:lastModifiedBy>
  <cp:revision>2</cp:revision>
  <dcterms:created xsi:type="dcterms:W3CDTF">2024-07-01T09:43:00Z</dcterms:created>
  <dcterms:modified xsi:type="dcterms:W3CDTF">2024-07-01T09:43:00Z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